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PURCHASE AGREEMENT (the “Agreement”), dated as of December 9, 2022, by and between MOTORSPORT GAMES INC., a Delaware corporation (the “Company”), and ALUMNI CAPITAL LP, a Delaware limited partnership (the “Investor”).</w:t>
        <w:br/>
        <w:t xml:space="preserve">  RECITALS</w:t>
        <w:br/>
        <w:t xml:space="preserve">  WHEREAS, Subject to the terms and conditions set forth in this Agreement, the Company wishes to sell to the Investor, and the Investor wishes to buy from the Company, up to $2,000,000 in registered shares of the Company’s Class A Common Stock, $0.0001 par value per share (the “Common Stock”). The shares of Common Stock to be acquired hereunder are referred to herein as the “Securities.”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defined):</w:t>
        <w:br/>
        <w:t xml:space="preserve">  “Additional Commitment Shares” shall have the meaning specified in Section 6.4.</w:t>
        <w:br/>
        <w:t xml:space="preserve">  “Additional Investment Amount” shall have the meaning specified in Section 2.1(c).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