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t>REGISTRATION RIGHTS AGREEMENT</w:t>
        <w:br/>
        <w:t xml:space="preserve">  THIS AMENDED AND RESTATED REGISTRATION RIGHTS AGREEMENT (this “Agreement”), dated as of September 13, 2024, is made and entered into by and among Plum Acquisition Corp. I, a Cayman Islands exempted company (“Plum”), Veea Inc., a Delaware corporation (“Veea”), Plum Partners, LLC, a Delaware limited liability company (the “Sponsor”), certain stockholders of Veea set forth on Schedule 1 hereto (such stockholders, the “Veea Holders”), and any person or entity who hereafter becomes a party to this Agreement pursuant to Section 5.2 of this Agreement (each a “Holder,” and collectively the “Holders”). This Agreement shall become effective upon the Closing (as defined in the Business Combination Agreement (as defined below)).</w:t>
        <w:br/>
        <w:t xml:space="preserve">  RECITALS</w:t>
        <w:br/>
        <w:t xml:space="preserve">  WHEREAS, Xxxx and the Sponsor are party to that certain Registration and Shareholder Rights Agreement, dated as of March 18, 2021 (the “Original RRA”);</w:t>
        <w:br/>
        <w:t xml:space="preserve">  WHEREAS, the Sponsor currently owns 4,557,346 shares of Plum’s Class A ordinary shares, par value $0.0001 per share (the “Class A Ordinary Shares”);</w:t>
        <w:br/>
        <w:t xml:space="preserve">  WHEREAS, on March 15 , 2021, Plum and the Sponsor entered into that certain Private Placement Warrants Purchase Agreement, pursuant to which the Sponsor agreed to purchase 6,000,000 warrants (or up to 6,600,000 warrants if the Underwriter’s (as defined below) option to purchase additional units in connection with Plum’s initial public offering is exercised in full) (the “Private Placement Warrants”), in a private placement transaction occurring simultaneously with the closing of the Plum’s initial public offering;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