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</w:t>
        <w:br/>
        <w:br/>
        <w:t>Execution Version</w:t>
        <w:br/>
        <w:br/>
        <w:t>AMENDED AND RESTATED</w:t>
        <w:br/>
        <w:t>REGISTRATION RIGHTS AGREEMENT</w:t>
        <w:br/>
        <w:t xml:space="preserve">  This AMENDED AND RESTATED REGISTRATION RIGHTS AGREEMENT (this “Agreement”) is dated as of August 7, 2024 (the “Effective Date”), by and among Vacasa, Inc., a Delaware corporation (the “Company”) and each of the persons listed under the heading “Holders” on the signature pages attached hereto (the “Holders,” and each individually, a “Holder”).</w:t>
        <w:br/>
        <w:t xml:space="preserve">  RECITALS</w:t>
        <w:br/>
        <w:t xml:space="preserve">  WHEREAS, the Company and certain of the Holders (collectively, the “Existing Investors”) previously entered into that certain Registration Rights Agreement, dated as of December 6, 2021 (the “Prior Agreement”);</w:t>
        <w:br/>
        <w:t xml:space="preserve">  WHEREAS, the Company proposes to enter into that certain Note Purchase Agreement, dated as of August 7, 2024 (the “Note Purchase Agreement”), by and among the Company, Vacasa Holdings LLC, a Delaware limited liability company (“Vacasa”), V-Revolver Sub LLC, a Delaware limited liability company, DK VCSA Lender LLC, a Delaware limited liability company (“DK”), the other purchasers from time to time party thereto, and Acquiom Agency Services LLC, in its capacities as administrative agent and collateral agent;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