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CERTAIN INFORMATION IDENTIFIED WITH THE MARK “[***]” HAS BEEN EXCLUDED FROM THIS EXHIBIT BECAUSE SUCH INFORMATION IS BOTH (I) NOT MATERIAL AND (II) WOULD BE COMPETITIVELY HARMFUL IF PUBLICLY DISCLOSED.</w:t>
        <w:br/>
        <w:t>REGISTRATION RIGHTS AGREEMENT</w:t>
        <w:br/>
        <w:t>THIS REGISTRATION RIGHTS AGREEMENT, dated as of August 11, 2024 (this “Agreement”), has been entered into by and between Neuronetics Inc., a Delaware corporation (the “Company”) and ● (the “Investor”).</w:t>
        <w:br/>
        <w:t>BACKGROUND</w:t>
        <w:br/>
        <w:t>The Investor will become a stockholder of the Company upon the closing of the Arrangement Agreement, dated as of the date hereof, by and among the Company and Greenbrook TMS Inc. (the “Arrangement Agreement”). Upon consummation of the Arrangement Agreement, the Investor will hold shares of common stock, par value $0.01 per share, of the Company (the “Common Stock”). In connection with the Arrangement Agreement, the Company has agreed to provide to the Investor certain registration rights under the Securities Act of 1933, as amended, and the rules and regulations thereunder (together, the “Securities Act”), and applicable state securities laws, with respect to the share of Common Stock.</w:t>
        <w:br/>
        <w:t>AGREEMENT</w:t>
        <w:br/>
        <w:t>In light of the above, the Company and the Investor hereby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