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AMENDED AND RESTATED REGISTRATION RIGHTS AGREEMENT</w:t>
        <w:br/>
        <w:t xml:space="preserve">  THIS AMENDED AND RESTATED REGISTRATION RIGHTS AGREEMENT (this “Agreement”), dated as of ☑, 2024, is made and entered into by and among Leading Partners Limited, a Cayman Islands exempted company (the “Company”), Leading Group Limited, a Cayman Islands exempted company(“Leading Group”), Healthcare AI Acquisition Corp., a Cayman Islands Exempted Company (the “SPAC”), Healthcare AI Acquisition, LLC (the “Former Sponsor”) and Atticus Ale, LLC  (the “Sponsor”) and each of the other undersigned parties listed as Existing Holders on the signature pages hereto (each such party, together with the Sponsor and any person or entity deemed an “Existing Holder” who hereafter becomes a party to this Agreement pursuant to Section 5.2 of this Agreement, an “Existing Holder” and, collectively, the “Existing Holders”) and the undersigned parties listed as New Holders on the signature pages hereto (each such party, together with any person or entity deemed a “New Holder” who hereafter becomes a party to this Agreement pursuant to Section 5.2 of this Agreement, a “New Holder” and collectively the “New Holders”). Existing Holders, collectively with New Holders, are referred to herein as “Holders.” Capitalized terms used but not otherwise defined in this Agreement shall have the meaning ascribed to such terms in the Business Combination Agreement (as defined below).</w:t>
        <w:br/>
        <w:t xml:space="preserve">  RECITALS</w:t>
        <w:br/>
        <w:t xml:space="preserve">  WHEREAS, on December 14, 2021, the SPAC, the Former Sponsor and certain other parties thereto entered into that certain Registration and Shareholder Rights Agreement (the “Existing Registration Rights Agreement”), pursuant to which the SPAC granted the Existing Holders certain registration rights with respect to certain securities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