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99.3</w:t>
        <w:br/>
        <w:t xml:space="preserve">  EXECUTION VERSION</w:t>
        <w:br/>
        <w:t xml:space="preserve">  AMENDED AND RESTATED REGISTRATION RIGHTS AGREEMENT</w:t>
        <w:br/>
        <w:t xml:space="preserve">  THIS AMENDED AND RESTATED REGISTRATION RIGHTS AGREEMENT (this “Agreement”), dated as of August 12, 2024, is made and entered into by and among (i) Citius Oncology, Inc., a Delaware corporation, formerly known as TenX Xxxxx Acquisition, a Cayman Islands exempted company (the “Company”), (ii) the equityholders designated as Sponsor Equityholders on the signature page hereto (collectively, the “Sponsor Equityholders”); and (iii) Citius Pharmaceuticals, Inc. (the “Legacy Citius Oncology Equityholder” and, together with the Sponsor Equityholders and any person or entity who hereafter becomes a party to this Agreement pursuant to Section 6.2 of this Agreement, the “Holders” and individually, a “Holder”). Capitalized terms used but not otherwise defined in this Agreement shall have the meanings ascribed to such terms in the Merger Agreement (as defined below).</w:t>
        <w:br/>
        <w:t xml:space="preserve">  RECITALS</w:t>
        <w:br/>
        <w:t xml:space="preserve">  WHEREAS, the Company and the Sponsor Equityholders are parties to that certain Registration Rights Agreement, dated as of October 13, 2022 (the “Prior Agreement”);</w:t>
        <w:br/>
        <w:t xml:space="preserve">  WHEREAS, the Company, TenX Merger Sub, Inc., a Delaware corporation (“Merger Sub”), and Citius Oncology Sub, Inc., an entity formerly known as Citius Oncology, Inc., a Delaware corporation (“Legacy Citius Oncology”), are parties to that certain Agreement and Plan of Merger, dated as of October 23, 2023 (as amended or restated from time to time, the “Merger Agreement”), pursuant to which, on the date hereof, Merger Sub merged (the “Merger”) with and into Legacy Citius Oncology, with Legacy Citius Oncology surviving the Merger as a wholly owned subsidiary of the Company;</w:t>
        <w:br/>
        <w:t xml:space="preserve">  WHEREAS, the Legacy Citius Oncology Equityholder is receiving shares of common stock, par value $0.0001 per share, of the Company (the “Common Stock”) on or about the date hereof, pursuant to the Merger Agreement (the “Merger Shares”);</w:t>
        <w:br/>
        <w:t xml:space="preserve">  WHEREAS, in connection with the consummation of the Merger, the parties to the Prior Agreement desire to amend and restate the Prior Agreement in its entirety as set forth herein, and the parties hereto desire to enter into this Agreement pursuant to which the Company shall grant the Holders certain registration rights with respect to the Registrable Securities (as defined below) on the terms and conditions set forth in this Agreement, effective as of the Closing; and</w:t>
        <w:br/>
        <w:t xml:space="preserve">  WHEREAS, pursuant to Section 5.5 of the Prior Agreement, no amendment, modification or termination of the Prior Agreement shall be binding upon any party unless executed in writing by such party.</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 xml:space="preserve">  DEFINITIONS</w:t>
        <w:br/>
        <w:t xml:space="preserve">  1.1 Definitions. Terms used, but not otherwise defined, shall have the meaning ascribed to them in the Merger Agreement. The terms defined in this Article I shall, for all purposes of this Agreement, have the respective meanings set forth below:</w:t>
        <w:br/>
        <w:t xml:space="preserve">  “Adverse Disclosure” shall mean any public disclosure of material non-public information, which disclosure, in the good faith judgment of the Chief Executive Officer or Chief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declared effective or used, as the case may be, and (iii) the Company has a bona fide business purpose for not making such information public.</w:t>
        <w:br/>
        <w:t xml:space="preserve">        “Agreement” shall have the meaning given in the Preamble.</w:t>
        <w:br/>
        <w:t xml:space="preserve">  “Block Trade” shall mean an offering and/or sale of Registrable Securities by any Holder on a block trade or underwritten basis (whether firm commitment or otherwise) without substantial marketing efforts prior to pricing, including, without limitation, a same day trade, overnight trade or similar transaction.</w:t>
        <w:br/>
        <w:t xml:space="preserve">  “Board” shall mean the Board of Directors of the Company.</w:t>
        <w:br/>
        <w:t xml:space="preserve">  “Change in Control” shall mean any transfer (whether by tender offer, merger, stock purchase, consolidation or other similar transaction), in one transaction or a series of related transactions, to a person or group of affiliated persons of the Company’s voting securities if, after such transfer, such person or group of affiliated persons would hold more than 50% of outstanding voting securities of the Company (or surviving entity) or would otherwise have the power to control the Board or to direct the operations of the Company.</w:t>
        <w:br/>
        <w:t xml:space="preserve">  “Code” shall have the meaning given in subsection 4.2.13.</w:t>
        <w:br/>
        <w:t xml:space="preserve">  “Commission” shall mean the Securities and Exchange Commission.</w:t>
        <w:br/>
        <w:t xml:space="preserve">  “Common Stock” shall have the meaning given in the Recitals.</w:t>
        <w:br/>
        <w:t xml:space="preserve">  “Company” shall have the meaning given in the Preamble.</w:t>
        <w:br/>
        <w:t xml:space="preserve">  “Demand Registration” shall have the meaning given in subsection 2.1.1.</w:t>
        <w:br/>
        <w:t xml:space="preserve">  “Demanding Holder” shall have the meaning given in subsection 2.1.1.</w:t>
        <w:br/>
        <w:t xml:space="preserve">  “XXXXX” shall have the meaning given in subsection 3.1.3.</w:t>
        <w:br/>
        <w:t xml:space="preserve">  “Exchange Act” shall mean the Securities Exchange Act of 1934, as it may be amended from time to time.</w:t>
        <w:br/>
        <w:t xml:space="preserve">  “Form S-1” shall have the meaning given in subsection 2.1.1.</w:t>
        <w:br/>
        <w:t xml:space="preserve">  “Form S-3” shall have the meaning given in subsection 2.3.</w:t>
        <w:br/>
        <w:t xml:space="preserve">  “Founder Shares” shall mean the 1,650,000 shares of ordinary shares of the Company, which subsequently converted into 1,650,000 shares of Common Stock, issued to its initial stockholders prior to the Company’s initial public offering.</w:t>
        <w:br/>
        <w:t xml:space="preserve">  “Holder Information” shall have the meaning given in subsection 5.1.2.</w:t>
        <w:br/>
        <w:t xml:space="preserve">  “Holders” shall have the meaning given in the Preamble, for so long as such person or entity holds any Registrable Securities.</w:t>
        <w:br/>
        <w:t xml:space="preserve">  “Legacy Citius Oncology” shall have the meaning given in the Recitals.</w:t>
        <w:br/>
        <w:t xml:space="preserve">  “Lock-up” shall have the meaning given in Section 4.1.</w:t>
        <w:br/>
        <w:t xml:space="preserve">  “Lock-up Party” shall have the meaning given in Section 4.1.</w:t>
        <w:br/>
        <w:t xml:space="preserve">  “Lock-up Period” shall have the meaning given in Section 4.1.</w:t>
        <w:br/>
        <w:t xml:space="preserve">        “Maximum Number of Securities” shall have the meaning given in subsection 2.1.4.</w:t>
        <w:br/>
        <w:t xml:space="preserve">  “Merger” shall have the meaning given in the Recitals.</w:t>
        <w:br/>
        <w:t xml:space="preserve">  “Merger Agreement” shall have the meaning given in the Recitals.</w:t>
        <w:br/>
        <w:t xml:space="preserve">  “Merger Shares” shall have the meaning given in the Recitals.</w:t>
        <w:br/>
        <w:t xml:space="preserve">  “Merger Sub” shall have the meaning given in the Recitals.</w:t>
        <w:br/>
        <w:t xml:space="preserve">  “Misstatement” shall mean an untrue statement of a material fact or an omission to state a material fact required to be stated in a Registration Statement or Prospectus, or necessary to make the statements in a Registration Statement or Prospectus (in the case of a Prospectus, in the light of the circumstances under which they were made) not misleading.</w:t>
        <w:br/>
        <w:t xml:space="preserve">  “Permitted Transferees” shall mean a person or entity to whom a Holder of Registrable Securities is permitted to transfer such Registrable Securities prior to the expiration of the Lock-up Period under this Agreement, and any other applicable agreement between such Holder and the Company, and to any transferee thereafter.</w:t>
        <w:br/>
        <w:t xml:space="preserve">  “Piggyback Registration” shall have the meaning given in subsection 2.2.1.</w:t>
        <w:br/>
        <w:t xml:space="preserve">  “Prior Agreement” shall have the meaning given in the Recitals.</w:t>
        <w:br/>
        <w:t xml:space="preserve">  “Private Placement Rights” shall mean the 394,000 rights to receive two-tenths (2/10) of one ordinary share issued by the Company that were part of the Private Placement Units which (i) subsequently converted into a right to receive two-tenths (2/10) of a share of Common Stock in connection with the Domestication and in accordance with the Merger Agreement and (ii) were automatically converted into whole shares of Common Stock at the Closing.</w:t>
        <w:br/>
        <w:t xml:space="preserve">  “Private Placement Shares” shall mean the 394,000 ordinary shares issued by the Company as part of the Private Placement Units and which subsequently converted into 394,000 shares of Common Stock in connection with the Domestication.</w:t>
        <w:br/>
        <w:t xml:space="preserve">  “Private Placement Units” shall mean the 394,000 units issued by the Company that were privately purchased simultaneously with the consummation of the Company’s initial public offering and for which each unit was comprised of one Private Placement Share and one Private Placement Right.</w:t>
        <w:br/>
        <w:t xml:space="preserve">  “Pro Rata” shall have the meaning given in subsection 2.1.4.</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the Merger Shares, (b) the Founder Shares, (c) the shares of Common Stock issued upon the conversion of the Private Placement Rights at the Closing, (d) the Private Placement Shares, (e) any outstanding Common Stock or any other equity security (including the shares of Common Stock issued or issuable upon the exercise of any other equity security) of the Company held by a Holder as of the date of this Agreement, (f) any equity securities (including the Common Stock issued or issuable upon the exercise of any such equity security) of the Company issuable upon conversion of any working capital loans in an amount up to $1,500,000 made to the Company by a Holder, and (g) any other equity security of the Company issued or issuable with respect to any such Common Stock by way of a share dividend or share split or in connection with a combination of shares, recapitalization, merger, consolidation or reorganization; provided, however, that, as to any particular Registrable Security, such securities shall cease to be Registrable Securities upon the earliest to occur of: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(other than to a Permitted Transferee), new certificates for such securities not bearing (or book entry positions not subject to) a legend restricting further transfer shall have been delivered by the Company and subsequent public distribution of such securities shall not require registration under the Securities Act; (C) such securities shall have ceased to be outstanding; (D) such securities may be sold without registration pursuant to Rule 144 promulgated under the Securities Act (or any successor rule promulgated thereafter by the Commission) (but with no volume or other restrictions or limitations); or (E) such securities have been sold to, or through, a broker, dealer or underwriter in a public distribution or other public securities transaction.</w:t>
        <w:br/>
        <w:t xml:space="preserve">        “Registration” shall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 xml:space="preserve">  “Registration Expenses” shall mean the out-of-pocket expenses of a Registration, including, without limitation, the following:</w:t>
        <w:br/>
        <w:t xml:space="preserve">  (A) all registration and filing fees (including fees with respect to filings required to be made with the Financial Industry Regulatory Authority, Inc.) and any securities exchange on which the Common Stock is then listed;</w:t>
        <w:br/>
        <w:t xml:space="preserve">  (B) fees and expenses of compliance with securities or blue sky laws (including reasonable fees and disbursements of counsel for the Underwriters in connection with blue sky qualifications of Registrable Securities);</w:t>
        <w:br/>
        <w:t xml:space="preserve">  (C) printing, messenger, telephone and delivery expenses;</w:t>
        <w:br/>
        <w:t xml:space="preserve">  (D) reasonable fees and disbursements of counsel for the Company;</w:t>
        <w:br/>
        <w:t xml:space="preserve">  (E) reasonable fees and disbursements of all independent registered public accountants of the Company incurred specifically in connection with such Registration; and</w:t>
        <w:br/>
        <w:t xml:space="preserve">  (F) in an Underwritten Offering, reasonable fees and expenses of one (1) legal counsel selected by the majority-in-interest of the Demanding Holders (not to exceed $50,000 without prior written consent of the Company).</w:t>
        <w:br/>
        <w:t xml:space="preserve">  “Registration Statement” shall mean any registration statement filed by the Company with the Commission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“Regulations” shall have the meaning given in subsection 4.2.13.</w:t>
        <w:br/>
        <w:t xml:space="preserve">  “Requesting Holder” shall have the meaning given in subsection 2.1.1.</w:t>
        <w:br/>
        <w:t xml:space="preserve">  “Securities Act” shall mean the Securities Act of 1933, as amended from time to time.</w:t>
        <w:br/>
        <w:t xml:space="preserve">  “Shelf” shall mean the Form S-1 Shelf, the Form S-3 Shelf or any subsequent Shelf Registration.</w:t>
        <w:br/>
        <w:t xml:space="preserve">  “Shelf Registration” shall mean a shelf registration of securities pursuant to a Registration Statement on Form S-1 or Form S-3 filed with the Commission in accordance with and pursuant to Rule 415 promulgated under the Securities Act (or any successor rule then in effect).</w:t>
        <w:br/>
        <w:t xml:space="preserve">  “Sponsor Equityholders” shall have the meaning given in the Preamble.</w:t>
        <w:br/>
        <w:t xml:space="preserve">  “Transfer” shall mean the (a) the sale or assignment of, offer to sell, contract or agreement to sell,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 xml:space="preserve">  “Underwriter” shall mean a securities dealer who purchases any Registrable Securities as principal in an Underwritten Offering and not as part of such dealer’s market-making activities.</w:t>
        <w:br/>
        <w:t xml:space="preserve">  “Underwritten Registration” or “Underwritten Offering” shall mean a Registration in which securities of the Company are sold to an Underwriter in a firm commitment underwriting for distribution to the public.</w:t>
        <w:br/>
        <w:t xml:space="preserve">          ARTICLE II</w:t>
        <w:br/>
        <w:t xml:space="preserve">  REGISTRATIONS</w:t>
        <w:br/>
        <w:t xml:space="preserve">  2.1 Demand Registration.</w:t>
        <w:br/>
        <w:t xml:space="preserve">  2.1.1 Request for Registration. Subject to the provisions of subsection 2.1.4 and Section 2.4(a) hereof, the Holders of at least a majority in interest of the then-outstanding number of Registrable Securities (the “Demanding Holders”) may make a written demand for Registration under the Securities Act of all or part of their Registrable Securities, which written demand shall describe the amount and type of securities to be included in such Registration and the intended method(s) of distribution thereof (such written demand a “Demand Registration”). The Company shall, within ten (10) days of the Company’s receipt of the Demand Registration, notify, in writing, all other Holders of Registrable Securities of such demand, and each Holder of Registrable Securities who thereafter wishes to include all or a portion of such Holder’s Registrable Securities in a Registration pursuant to a Demand Registration (each such Holder that includes all or a portion of such Holder’s Registrable Securities in such Registration, a “Requesting Holder”) shall so notify the Company, in writing, within five (5) days after the receipt by the Holder of the notice from the Company. Upon receipt by the Company of any such written notification from a Requesting Holder(s) to the Company, such Requesting Holder(s) shall be entitled to have their Registrable Securities included in a Registration pursuant to a Demand Registration and the Company shall effect, as soon thereafter as practicable, but not more than sixty (60) days immediately after the Company’s receipt of the Demand Registration, the Registration of all Registrable Securities requested by the Demanding Holders and Requesting Holders pursuant to such Demand Registration.</w:t>
        <w:br/>
        <w:t xml:space="preserve">  2.1.2 Effective Registration. Notwithstanding the provisions of subsection 2.1.1 above or any other part of this Agreement, a Registration pursuant to a Demand Registration shall not count as a Registration unless and until (i) the Registration Statement filed with the Commission with respect to a Registration pursuant to a Demand Registration has been declared effective by the Commission and (ii) the Company has complied with all of its obligations under this Agreement with respect thereto; provided, further, that if, within six months after such Registration Statement has been declared effective, an offering of Registrable Securities in a Registration pursuant to a Demand Registration is subsequently interfered with by any stop order or injunction of the Commission, federal or state court or any other governmental agency the Registration Statement with respect to such Registration shall be deemed not to have been declared effective, unless and until, (i) such stop order or injunction is removed, rescinded or otherwise terminated, and (ii) a majority-in-interest of the Demanding Holders initiating such Demand Registration thereafter affirmatively elect to continue with such Registration and accordingly notify the Company in writing, but in no event later than five (5) days, of such election; and provided, further, that the Company shall not be obligated or required to file another Registration Statement until the Registration Statement that has been previously filed with respect to a Registration pursuant to a Demand Registration becomes effective or is subsequently terminated.</w:t>
        <w:br/>
        <w:t xml:space="preserve">  2.1.3 Underwritten Offering. Subject to the provisions of subsection 2.1.4 and Section 2.4(a) hereof, if a majority-in-interest of the Demanding Holders so advise the Company as part of their Demand Registration that the offering of the Registrable Securities pursuant to such Demand Registration shall be in the form of an Underwritten Offering, then the right of such Demanding Holder or Requesting Holder (if any) to include its Registrable Securities in such Registration shall be conditioned upon such Holder’s participation in such Underwritten Offering and the inclusion of such Holder’s Registrable Securities in such Underwritten Offering to the extent provided herein. All such Holders proposing to distribute their Registrable Securities through an Underwritten Offering under this subsection 2.1.3 shall enter into an underwriting agreement in customary form with the Underwriter(s) selected for such Underwritten Offering by the majority-in-interest of the Demanding Holders initiating the Demand Registration.</w:t>
        <w:br/>
        <w:t xml:space="preserve">        2.1.4 Reduction of Underwritten Offering. If the managing Underwriter or Underwriters in an Underwritten Registration pursuant to a Demand Registration, in good faith, advises the Company, the Demanding Holders and the Requesting Holders (if any) in writing that the dollar amount or number of Registrable Securities that the Demanding Holders and the Requesting Holders (if any) desire to sell, taken together with all other shares of Common Stock or other equity securities that the Company desires to sell and shares of Common Stock, if any, as to which a Registration has been requested pursuant to separate written contractual piggy-back registration rights held by any other stockholders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Demanding Holders and the Requesting Holders (if any) (pro rata based on the respective number of Registrable Securities that each Demanding Holder and Requesting Holder (if any) has requested be included in such Underwritten Registration and the aggregate number of Registrable Securities that the Demanding Holders and Requesting Holders have requested be included in such Underwritten Registration (such proportion is referred to herein as “Pro Rata”)) that can be sold without exceeding the Maximum Number of Securities; (ii) second, to the extent that the Maximum Number of Securities has not been reached under the foregoing clause (i), the Registrable Securities of Holders (Pro Rata, based on the respective number of Registrable Securities that each Holder has so requested) exercising their rights to register their Registrable Securities pursuant to subsection 2.2.1 hereof, without exceeding the Maximum Number of Securities; (iii) third, to the extent that the Maximum Number of Securities has not been reached under the foregoing clauses (i) and (ii), the shares of Common Stock or other equity securities that the Company desires to sell, which can be sold without exceeding the Maximum Number of Securities; and (iv) fourth, to the extent that the Maximum Number of Securities has not been reached under the foregoing clauses (i), (ii) and (iii), the Common Stock or other equity securities of other persons or entities that the Company is obligated to register in a Registration pursuant to separate written contractual arrangements with such persons and that can be sold without exceeding the Maximum Number of Securities.</w:t>
        <w:br/>
        <w:t xml:space="preserve">  2.1.5 Demand Registration Withdrawal. A majority-in-interest of the Demanding Holders initiating a Demand Registration or a majority-in-interest of the Requesting Holders (if any), pursuant to a Registration under subsection 2.1.1 shall have the right to withdraw from a Registration pursuant to such Demand Registration for any or no reason whatsoever upon written notification to the Company and the Underwriter or Underwriters (if any) of their intention to withdraw from such Registration prior to the effectiveness of the Registration Statement filed with the Commission with respect to the Registration of their Registrable Securities pursuant to such Demand Registration. Notwithstanding anything to the contrary in this Agreement, the Company shall be responsible for the Registration Expenses incurred in connection with a Registration pursuant to a Demand Registration as provided in Section 3.3 prior to its withdrawal under this subsection 2.1.5. If withdrawn, a Demand Registration shall constitute a demand for an Underwritten Offering by the withdrawing Demanding Holder for purposes of Section 2.1.1.</w:t>
        <w:br/>
        <w:t xml:space="preserve">  2.2 Piggyback Registration.</w:t>
        <w:br/>
        <w:t xml:space="preserve">  2.2.1 Piggyback Rights. If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pursuant to Section 2.1 hereof), other than a Registration Statement (i) filed in connection with any employee stock option or other benefit plan, (ii) for an exchange offer or offering of securities solely to the Company’s existing stockholders, (iii) for an offering of debt that is convertible into equity securities of the Company, (iv) pursuant to a Registration Statement on Form S-4 (or similar form that relates to a transaction subject to Rule 145 under the Securities Act or any successor rule thereto), (v) for a dividend reinvestment plan, or (vi) for a Block Trade, then the Company shall give written notice of such proposed filing to all of the Holders of Registrable Securities as soon as practicable but not less than ten (10) days before the anticipated filing date of such Registration Statement or, in the case of an Underwritten Offering pursuant to a Shelf Registration, the applicable “red xxxxxxx” prospectus or prospectus supplement used for marketing such offering,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register the sale of such number of Registrable Securities as such Holders may request in writing within five (5) days after receipt of such written notice (such Registration a “Piggyback Registration”). Subject to Section 2.2.2, the Company shall, in good faith, cause such Registrable Securities to be included in such Piggyback Registration and, if applicable, shall use its commercially reasonable efforts to cause the managing Underwriter or Underwriters of a proposed Underwritten Offering to permit the Registrable Securities requested by the Holders pursuant to this subsection 2.2.1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All such Holders proposing to distribute their Registrable Securities through an Underwritten Offering under this subsection 2.2.1 shall enter into an underwriting agreement in customary form with the Underwriter(s) selected for such Underwritten Offering by the Company.</w:t>
        <w:br/>
        <w:t xml:space="preserve">        2.2.2 Reduction of Piggyback Registration. If the managing Underwriter or Underwriters in an Underwritten Registration that is to be a Piggyback Registration, in good faith, advises the Company and the Holders of Registrable Securities participating in the Piggyback Registration in writing that the dollar amount or number of the shares of Common Stock or other equity securities that the Company desires to sell, taken together with (i) the shares of Common Stock or other equity securities, if any, as to which Registration has been demanded pursuant to separate written contractual arrangements with persons or entities other than the Holders of Registrable Securities hereunder, (ii) the Registrable Securities as to which registration has been requested pursuant to Section 2.2 hereof, and (iii) the shares of Common Stock or other equity securities, if any, as to which Registration has been requested pursuant to separate written contractual piggy-back registration rights of other stockholders of the Company, exceeds the Maximum Number of Securities, then:</w:t>
        <w:br/>
        <w:t xml:space="preserve">  (a) If the Registration is undertaken for the Company’s account, the Company shall include in any such Registration (A) first, the shares of Common Stock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2.2.1 hereof, Pro Rata, which can be sold without exceeding the Maximum Number of Securities; and (C) third, to the extent that the Maximum Number of Securities has not been reached under the foregoing clauses (A) and (B), the shares of Common Stock or other equity securities, if any, as to which Registration has been requested pursuant to written contractual piggy-back registration rights of other stockholders of the Company, which can be sold without exceeding the Maximum Number of Securities;</w:t>
        <w:br/>
        <w:t xml:space="preserve">  (b) If the Registration is pursuant to a request by persons or entities other than the Holders of Registrable Securities, then the Company shall include in any such Registration (A) first, the shares of Common Stock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2.2.1, pro rata based on the number of Registrable Securities that each Holder has requested be included in such Underwritten Registration and the aggregate number of Registrable Securities that the Holders have requested to be included in such Underwritten Registration, which can be sold without exceeding the Maximum Number of Securities; (C) third, to the extent that the Maximum Number of Securities has not been reached under the foregoing clauses (A) and (B), the shares of Common Stock or other equity securities that the Company desires to sell, which can be sold without exceeding the Maximum Number of Securities; and (D) fourth, to the extent that the Maximum Number of Securities has not been reached under the foregoing clauses (A), (B) and (C), the shares of Common Stock or other equity securities for the account of other persons or entities that the Company is obligated to register pursuant to separate written contractual arrangements with such persons or entities, which can be sold without exceeding the Maximum Number of Securities.</w:t>
        <w:br/>
        <w:t xml:space="preserve">  2.2.3 Piggyback Registration Withdrawal. Any Holder of Registrable Securities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or, in the case of a Piggyback Registration pursuant to a Shelf Registration, the filing of the applicable “red xxxxxxx” prospectus or prospectus supplement with respect to such Piggyback Registration used for marketing such transaction. The Company (whether on its own good faith determination or as the result of a request for withdrawal by persons pursuant to separate written contractual obligations) may withdraw or abandon a Registration Statement filed with the Commission or Shelf takedown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as provided in Section 3.2 prior to its withdrawal under this subsection 2.2.3.</w:t>
        <w:br/>
        <w:t xml:space="preserve">        2.2.4 Limitations on Registration Rights. Under no circumstances shall the Company be obligated to effect more than an aggregate of three (3) Registrations pursuant to a Demand Registration under Section 2.1 with respect to any or all Registrable Securities, provided that a Piggyback Registration under this Section 2.2 shall not be counted as a Registration pursuant to a Demand Registration effected under Section 2.1.</w:t>
        <w:br/>
        <w:t xml:space="preserve">  2.3 Registrations on Form S-3. The Holders of Registrable Securities may at any time, and from time to time, request in writing that the Company, pursuant to Rule 415 under the Securities Act (or any successor rule promulgated thereafter by the Commission), register the resale of any or all of their Registrable Securities on Form S-3 or any similar short form registration statement that may be available at such time (“Form S-3”); provided, however, that the Company shall not be obligated to effect such request through an Underwritten Offering. Within five (5) days of the Company’s receipt of a written request from a Holder or Holders of Registrable Securities for a Registration on Form S-3, the Company shall promptly give written notice of the proposed Registration on Form S-3 to all other Holders of Registrable Securities, and each Holder of Registrable Securities who thereafter wishes to include all or a portion of such Holder’s Registrable Securities in such Registration on Form S-3 shall so notify the Company, in writing, within ten (10) days after the receipt by the Holder of the notice from the Company. As soon as practicable thereafter, but not more than sixty (60) days after the Company’s initial receipt of such written request for a Registration on Form S-3, the Company shall register all or such portion of such Holder’s Registrable Securities as are specified in such written request, together with all or such portion of Registrable Securities of any other Holder or Holders joining in such request as are specified in the written notification given by such Holder or Holders; provided, however, that the Company shall not be obligated to effect any such Registration pursuant to Section 2.3 hereof if (i) a Form S-3 is not available for such offering; or (ii) the Holders of Registrable Securities, together with the Holders of any other equity securities of the Company entitled to inclusion in such Registration, propose to sell the Registrable Securities and such other equity securities (if any) at any aggregate price to the public of less than $10,000,000.</w:t>
        <w:br/>
        <w:t xml:space="preserve">  2.4 Restrictions on Registration Rights.</w:t>
        <w:br/>
        <w:t xml:space="preserve">  (a) If (A) during the period starting with the date sixty (60) days prior to the Company’s good faith estimate of the date of the filing of, and ending on a date one hundred and twenty (120) days after the effective date of, a Company initiated Registration and provided that the Company has delivered written notice to the Holders prior to receipt of a Demand Registration pursuant to subsection 2.1.1 and it continues to actively employ, in good faith, all commercially reasonable efforts to cause the applicable Registration Statement to become effective; (B) the Holders have requested an Underwritten Registration and the Company and the Holders are unable to obtain the commitment of underwriters to firmly underwrite the offer; or (C) in the good faith judgment of the Board such Registration would be seriously detrimental to the Company and the Board concludes as a result that it is essential to defer the filing of such Registration Statement at such time, then in each case the Company shall furnish to such Holders a certificate signed by the Chairman of the Board stating that in the good faith judgment of the Board it would be seriously detrimental to the Company for such Registration Statement to be filed in the near future and that it is therefore essential to defer the filing of such Registration Statement. In such event, the Company shall have the right to defer such filing for a period of not more than ninety (90) days.</w:t>
        <w:br/>
        <w:t xml:space="preserve">  (b) Subject to the provisions of Sections 2.2 and 2.4(a), the Company hereby agrees to use its commercially reasonable efforts to file a Registration Statement for the resale of any or all of a Holder’s Registrable Securities, as requested in writing by such Xxxxxx, within one hundred and twenty (120) days of the date hereof.</w:t>
        <w:br/>
        <w:t xml:space="preserve">        ARTICLE III</w:t>
        <w:br/>
        <w:t xml:space="preserve">  COMPANY PROCEDURES</w:t>
        <w:br/>
        <w:t xml:space="preserve">  3.1 General Procedures. If the Company is required to effect the Registration of Registrable Securities pursuant to this Agreement, the Company shall use its commercially reasonable efforts to effect such Registration to permit the sale of such Registrable Securities in accordance with the intended plan of distribution thereof, and pursuant thereto the Company shall:</w:t>
        <w:br/>
        <w:t xml:space="preserve">  3.1.1 prepare and file with the Commission as soon as practicable a Registration Statement with respect to such Registrable Securities and use its commercially reasonable efforts to cause such Registration Statement to become effective and remain effective until all Registrable Securities covered by such Registration Statement have been sold or have ceased to be Registrable Securities;</w:t>
        <w:br/>
        <w:t xml:space="preserve">  3.1.2 prepare and file with the Commission such amendments and post-effective amendments to the Registration Statement, and such supplements to the Prospectus, as may be reasonably requested by the Holders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 or have ceased to be Registrable Securities;</w:t>
        <w:br/>
        <w:t xml:space="preserve">  3.1.3 not later than five (5) days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reasonably request in order to facilitate the disposition of the Registrable Securities owned by such holders, provided, that the Company shall have no obligation to furnish any documents publicly filed or furnished with the Commission pursuant to the Electronic Data Gathering Analysis and Retrieval System (“XXXXX”);</w:t>
        <w:br/>
        <w:t xml:space="preserve">  3.1.4 prior to any public offering of Registrable Securities,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(or provide evidence reasonably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3.1.5 use its commercially reasonable efforts to cause all such Registrable Securities included in any registration to be listed on such exchanges or otherwise designated for trading in the same manner as similar securities issued by the Company are then listed or designated or, if no such similar securities are then listed or designated, in a manner satisfactory to the holders of a majority-in-interest of the Registrable Securities included in such registration;</w:t>
        <w:br/>
        <w:t xml:space="preserve">        3.1.6 provide a transfer agent as applicable, and registrar for all such Registrable Securities no later than the effective date of such Registration Statement;</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 xml:space="preserve">  3.1.8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 xml:space="preserve">  3.1.9 permit a representative of the Holders (such representative to be selected by a majority of the participating Holders), the Underwriters, if any, and any attorney or accountant retained by such Holders or Underwriter to participate, at each such person’s own expense, in the preparation of the Registration Statement, and cause the Company’s officers, directors and employees to supply all information reasonably requested by any such representative, Underwriter, attorney or accountant in connection with the Registration; provided, however, that such representatives or Underwriters enter into a confidentiality agreement, in form and substance reasonably satisfactory to the Company, prior to the release or disclosure of any such information;</w:t>
        <w:br/>
        <w:t xml:space="preserve">  3.1.10 obtain a “comfort” letter from the Company’s independent registered public accountants in the event of an Underwritten Registration which the participating Holders may rely on, in customary form and covering such matters of the type customarily covered by “comfort” letters for transactions of its type as the managing Underwriter may reasonably request, and reasonably satisfactory to a majority-in-interest of the participating Holders;</w:t>
        <w:br/>
        <w:t xml:space="preserve">  3.1.11 on the date the Registrable Securities are delivered for sale pursuant to such Registration, to the extent customary for a transaction of its type, obtain an opinion, dated such date, of counsel representing the Company for the purposes of such Registration, addressed to the Holders, the placement agent or sales agent, if any, and the Underwriters, if any, covering such legal matters with respect to the Registration in respect of which such opinion is being given as the Holders, placement agent, sales agent, or Underwriter may reasonably request and as are customarily included in such opinions and negative assurance letters;</w:t>
        <w:br/>
        <w:t xml:space="preserve">  3.1.12 in the event of any Underwritten Offering, enter into and perform its obligations under an underwriting agreement, in usual and customary form, with the managing Underwriter of such offering;</w:t>
        <w:br/>
        <w:t xml:space="preserve">  3.1.13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 and which requirement will be deemed to be satisfied if the Company timely files complete and accurate information on Forms 10-Q, 10-K or 8-K under the Exchange Act and otherwise complies with Rule 158 under the Securities Act;</w:t>
        <w:br/>
        <w:t xml:space="preserve">  3.1.14 if the Registration involves the Registration of Registrable Securities involving gross proceeds in excess of $60,000,000, use its commercially reasonable efforts to make available senior executives of the Company to participate in customary “road show” presentations that may be reasonably requested by the Underwriter in such Underwritten Offering; and</w:t>
        <w:br/>
        <w:t xml:space="preserve">  3.1.15 otherwise, in good faith, cooperate reasonably with, and take such customary actions as may reasonably be requested by the Holders, consistent with the terms of this Agreement, in connection with such Registration.</w:t>
        <w:br/>
        <w:t xml:space="preserve">        Notwithstanding the foregoing, the Company shall not be required to provide any documents or information to an Underwriter, broker, sales agent or placement agent if such Underwriter, broker, sales agent or placement agent has not then been named with respect to the applicable Underwritten Offering or other offering involving a Registration as an Underwriter, broker, sales agent or placement agent, as applicable.</w:t>
        <w:br/>
        <w:t xml:space="preserve">  3.2 Registration Expenses. Except as otherwise provided herein, the Registration Expenses of all Registrations shall be borne by the Company. It is acknowledged by the Holders that the Holders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Holders.</w:t>
        <w:br/>
        <w:t xml:space="preserve">  3.3 Requirements for Participation in Underwritten Offerings. Notwithstanding anything in this Agreement to the contrary, if any Holder does not provide the Company with its requested Holder Information, the Company may exclude such Holder’s Registrable Securities from the applicable Registration Statement or Prospectus if the Company determines, based on the advice of counsel, that it is necessary or advisable to review such information prior to filing, or include such information in, the applicable Registration Statement or Prospectus and such Holder continues thereafter to withhold such information. In addition,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br/>
        <w:t xml:space="preserve">  3.4 Suspension of Sales; Adverse Disclosure.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reasonably practicable after the time of such notice), or until it is advised in writing by the Company that the use of the Prospectus may be resumed. If the filing, initial effectiveness or continued use of a Registration Statement in respect of any Registration at any time would (a) require the Company to make an Adverse Disclosure, (b) require the inclusion in such Registration Statement of financial statements that are unavailable to the Company for reasons beyond the Company’s control, or (c) in the good faith judgment of the majority of the Board such Registration, would be seriously detrimental to the Company and the majority of the Board concludes as a result that it is essential to defer such filing, initial effectiveness or continued use at such time, the Company may, upon giving prompt written notice of such action to the Holders, delay the filing or initial effectiveness of, or suspend use of, such Registration Statement for the shortest period of time reasonably practicable, but in no event more than ninety (90) days, determined in good faith by the Company to be necessary for such purpose. In the event the Company exercises its rights under the preceding sentence, the Holders agree to suspend, immediately upon their receipt of the notice referred to above, their use of the Prospectus relating to any Registration in connection with any sale or offer to sell Registrable Securities until such Holder receives written notice from the Company that such sales or offers of Registrable Securities may be resumed, and in each case maintain the confidentiality of such notice and its contents. The Company shall as promptly as reasonably practicable notify the Holders of the expiration of any period during which it exercised its rights under this Section 3.4.</w:t>
        <w:br/>
        <w:t xml:space="preserve">  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provided that any documents publicly filed or furnished with the Commission pursuant to XXXXX shall be deemed to have been furnished or delivered to the Holders pursuant to this Section 3.5. The Company further covenants that it shall take such further action as any Holder may reasonably request, all to the extent required from time to time to enable such Holder to sell shares of Common Stock held by such Holder without registration under the Securities Act within the limitation of the exemptions provided by Rule 144 promulgated under the Securities Act (or any successor rule promulgated thereafter by the Commission), including providing any legal opinions. Upon the request of any Holder, the Company shall deliver to such Holder a written certification of a duly authorized officer as to whether it has complied with such requirements.</w:t>
        <w:br/>
        <w:t xml:space="preserve">        ARTICLE IV</w:t>
        <w:br/>
        <w:t xml:space="preserve">  LOCK-UP</w:t>
        <w:br/>
        <w:t xml:space="preserve">  4.1 Lock-up.</w:t>
        <w:br/>
        <w:t xml:space="preserve">  4.1.1 Except as permitted by Section 4.2, the Legacy Citius Oncology Equityholder and each Sponsor Equityholder (each, a “Lock-up Party”) shall not Transfer any shares of Common Stock or any security convertible into or exercisable or exchanged for Common Stock beneficially owned or owned of record by such Holder (the “Lock-up”) until the date that is the earlier of (A) six (6) months after the date hereof or (B) if the last sale price of the Common Stock equals or exceeds $12.00 per share (as adjusted for share splits, share capitalizations, rights issuances, subdivisions, reorganizations, recapitalizations and the like) for any 20 trading days within any 30-trading day period commencing at least 150 days after the date hereof, or (y) the date following the date hereof on which the Company completes a liquidation, merger, share exchange, reorganization or other similar transaction that results in all of its stockholders having the right to exchange their shares of Common Stock for cash, securities or other property (the “Lock-up Period”).</w:t>
        <w:br/>
        <w:t xml:space="preserve">  4.2 Exceptions. The provisions of Section 4.1 shall not apply to:</w:t>
        <w:br/>
        <w:t xml:space="preserve">  4.2.1 transactions relating to shares of Common Stock or warrants acquired in open market transactions after the date hereof;</w:t>
        <w:br/>
        <w:t xml:space="preserve">  4.2.2 Transfers of shares of Common Stock or any security convertible into or exercisable or exchangeable for Common Stock as a bona fide gift or charitable contribution;</w:t>
        <w:br/>
        <w:t xml:space="preserve">  4.2.3 Transfers of shares of Common Stock or any security convertible into or exercisable or exchangeable for Common Stock to a trust, family limited partnership or other entity formed for estate planning purposes for the primary benefit of the spouse, domestic partner, parent, sibling, child or grandchild of a Holder or any other person with whom a Holder has a relationship by blood, marriage or adoption not more remote than first cousin and Transfers to any such family member;</w:t>
        <w:br/>
        <w:t xml:space="preserve">  4.2.4 Transfers of shares of Common Stock or any security convertible into or exercisable or exchangeable for Common Stock by will or intestate succession or the laws of descent and distributions upon the death of a Holder (it being understood and agreed that the appointment of one or more executors, administrators or personal representatives of the estate of a Holder shall not be deemed a Transfer hereunder to the extent that such executors, administrators and/or personal representatives comply with the terms of this Article IV on behalf of such estate);</w:t>
        <w:br/>
        <w:t xml:space="preserve">  4.2.5 Transfers of shares of Common Stock or any security convertible into or exercisable or exchangeable for Common Stock pursuant to a qualified domestic order or in connection with a divorce settlement;</w:t>
        <w:br/>
        <w:t xml:space="preserve">  4.2.6 if a Holder is a corporation, partnership (whether general, limited or otherwise), limited liability company, trust or other business entity, (i) Transfers of shares of Common Stock or any security convertible into or exercisable or exchangeable for Common Stock to another corporation, partnership, limited liability company, trust or other business entity that controls, is controlled by or is under common control or management with a Holder (including, for the avoidance of doubt, where such Holder is a partnership, to its general partner or a successor partnership or fund, or any other funds managed by such partnership), or (ii) Transfers of shares of Common Stock or any security convertible into or exercisable or exchangeable for Common Stock as part of a dividend, distribution, transfer or other disposition of shares of Common Stock to partners, limited liability company members, direct or indirect stockholders or other equity holders of a Holder, including, for the avoidance of doubt, where such Holder is a partnership, to its general partner or a successor partnership, fund or investment vehicle, or any other partnerships, funds or investment vehicles controlled or managed by such partnership;</w:t>
        <w:br/>
        <w:t xml:space="preserve">        4.2.7 if the Holder is a trust, Transfers of shares of Common Stock or any security convertible into or exercisable or exchangeable for Common Stock to a trustor or beneficiary of such trust or to the estate of a beneficiary of such trust;</w:t>
        <w:br/>
        <w:t xml:space="preserve">  4.2.8 Transfers of shares of Common Stock or any security convertible into or exercisable or exchangeable for Common Stock to the Company’s or the Holder’s officers, directors, members, consultants or their affiliates;</w:t>
        <w:br/>
        <w:t xml:space="preserve">  4.2.9 pledges of shares of Common Stock or any security convertible into or exercisable or exchangeable for Common Stock as security or collateral in connection with any borrowing or the incurrence of any indebtedness by any Holder (provided such borrowing or incurrence of indebtedness is secured by a portfolio of assets or equity interests issued by multiple issuers);</w:t>
        <w:br/>
        <w:t xml:space="preserve">  4.2.10 Transfers of shares of Common Stock or any security convertible into or exercisable or exchangeable for Common Stock pursuant to a bona fide third-party tender offer, merger, asset acquisition, stock sale, recapitalization, consolidation, business combination or other transaction or series of related transactions involving a Change in Control of the Company, provided that in the event that such tender offer, merger, asset acquisition, stock sale, recapitalization, consolidation, business combination or other such transaction is not completed, the securities subject to this Agreement shall remain subject to this Agreement;</w:t>
        <w:br/>
        <w:t xml:space="preserve">  4.2.11 Transfers of shares of Common Stock or any security convertible into or exercisable or exchangeable for Common Stock to the Company in connection with the liquidation or dissolution of the Company by virtue of the laws of the state of the Company’s organization and the Company’s organizational documents;</w:t>
        <w:br/>
        <w:t xml:space="preserve">  4.2.12 the establishment of a trading plan pursuant to Rule 10b5-1 promulgated under the Exchange Act, provided that such plan does not provide for the Transfer of any shares of Common Stock or any security convertible into or exercisable or exchangeable for Common Stock during the Lock-up Period; and</w:t>
        <w:br/>
        <w:t xml:space="preserve">  4.2.13 Transfers of shares of Common Stock or any security convertible into or exercisable or exchangeable for Common Stock to satisfy any U.S. federal, state, or local income tax obligations of the Lock-up Party (or its direct or indirect owners) arising from a change in the U.S. Internal Revenue Code of 1986, as amended (the “Code”), or the U.S. Treasury Regulations promulgated thereunder (the “Regulations”) after the date on which the Merger Agreement was executed by the parties, and such change prevents the Merger from qualifying as a “reorganization” pursuant to Section 368 of the Code (and the Merger does not qualify for similar tax-free treatment pursuant to any successor or other provision of the Code or Regulations taking into account such changes), in each case solely and to the extent necessary to cover any tax liability as a direct result of the transaction; and</w:t>
        <w:br/>
        <w:t xml:space="preserve">  4.2.14 to the extent a waiver from the Lock-up is required in order for the Company to meet the applicable Nasdaq initial or continued listing rules with respect to the minimum number of unrestricted round lot holders, as determined by the Company in good faith.</w:t>
        <w:br/>
        <w:t xml:space="preserve">  4.3 Null and Void. If any Transfer of shares of Common Stock prior to the end of the Lock-up Period is made or attempted contrary to the provisions of this Agreement, such purported Transfer shall be null and void ab initio, and the Company shall refuse to recognize any such purported transferee as one of its equityholders for any purpose.</w:t>
        <w:br/>
        <w:t xml:space="preserve">  ARTICLE V</w:t>
        <w:br/>
        <w:t xml:space="preserve">  INDEMNIFICATION AND CONTRIBUTION</w:t>
        <w:br/>
        <w:t xml:space="preserve">  5.1 Indemnification.</w:t>
        <w:br/>
        <w:t xml:space="preserve">  5.1.1 The Company agrees to indemnify, to the extent permitted by law, each Holder of Registrable Securities, its officers and directors and each person who controls such Holder (within the meaning of the Securities Act) against all losses, claims, damages, liabilities and out-of-pocket expenses (including actual, reasonable and documented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Holder expressly for use therein. The Company shall indemnify the Underwriters, their officers and directors and each person who controls such Underwriters (within the meaning of the Securities Act) to the same extent as provided in the foregoing with respect to the indemnification of the Holder.</w:t>
        <w:br/>
        <w:t xml:space="preserve">        5.1.2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(the “Holder Information”) and, to the extent permitted by law, shall indemnify the Company, its directors and officers and agents and each person who controls the Company (within the meaning of the Securities Act) against any losses, claims, damages, liabilities and out-of-pocket expenses (including without limitation actual, reasonable and documented attorneys’ fees) resulting from any untrue or alleged untrue statement of material fact contained in the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is contained in (or not contained in, in the case of an omission) any information or affidavit so furnished in writing by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such Underwriters (within the meaning of the Securities Act) to the same extent as provided in the foregoing with respect to indemnification of the Company.</w:t>
        <w:br/>
        <w:t xml:space="preserve">  5.1.3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 xml:space="preserve">  5.1.4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 xml:space="preserve">  5.1.5 If the indemnification provided under Section 5.1 hereof from the indemnifying party is unavailable or insufficient to hold harmless an indemnified party in respect of any losses, claims, damages, liabilities and out-of-pocket expenses referred to herein, then the indemnifying party, in lieu of indemnifying the indemnified party, shall contribute to the amount paid or payable by the indemnified party as a result of such losses, claims, damages, liabilities and out-of-pocket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not made by, in the case of an omission), or relates to information supplied by (or not supplied by, in the case of an omission), such indemnifying party or indemnified party, and the indemnifying party’s and indemnified party’s relative intent, knowledge, access to information and opportunity to correct or prevent such action; provided, however, that the liability of any Holder under this subsection 5.1.5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subsections 5.1.1, 5.1.2 and 5.1.3 above, any legal or other fees, charges or expenses reasonably incurred by such party in connection with any investigation or proceeding. The parties hereto agree that it would not be just and equitable if contribution pursuant to this subsection 5.1.5 were determined by pro rata allocation or by any other method of allocation, which does not take account of the equitable considerations referred to in this subsection 5.1.5. No person guilty of fraudulent misrepresentation (within the meaning of Section 11(f) of the Securities Act) shall be entitled to contribution pursuant to this subsection 5.1.5 from any person who was not guilty of such fraudulent misrepresentation.</w:t>
        <w:br/>
        <w:t xml:space="preserve">        ARTICLE VI</w:t>
        <w:br/>
        <w:t xml:space="preserve">  MISCELLANEOUS</w:t>
        <w:br/>
        <w:t xml:space="preserve">  6.1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telecopy, telegram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telecopy, telegram or facsimile, at such time as it is delivered to the addressee or at such time as delivery is refused by the addressee upon presentation. Any notice or communication under this Agreement must be addressed, if to the Company, to: 00 Xxxxxxxx Xxxxx, Xxxxx Xxxxx Xxxxxxxx, XX 00000, and, if to any Holder, at such Holder’s address or facsimile number as set forth in the Company’s books and records. Any party may change its address for notice at any time and from time to time by written notice to the other parties hereto, and such change of address shall become effective thirty (30) days after delivery of such notice as provided in this Section 6.1.</w:t>
        <w:br/>
        <w:t xml:space="preserve">  6.2 Assignment; No Third Party Beneficiaries.</w:t>
        <w:br/>
        <w:t xml:space="preserve">  6.2.1 This Agreement and the rights, duties and obligations of the Company hereunder may not be assigned or delegated by the Company in whole or in part.</w:t>
        <w:br/>
        <w:t xml:space="preserve">  6.2.2 Prior to the expiration of the Lock-up Period, no Holder may assign or delegate such Xxxxxx’s rights, duties or obligations under this Agreement, in whole or in part, except in connection with a transfer of Registrable Securities by such Holder to a Permitted Transferee but only if such Permitted Transferee agrees to become bound by the transfer restrictions set forth in this Agreement.</w:t>
        <w:br/>
        <w:t xml:space="preserve">  6.2.3 This Agreement and the provisions hereof shall be binding upon and shall inure to the benefit of each of the parties and its successors and the permitted assigns of the Holders, which shall include Permitted Transferees.</w:t>
        <w:br/>
        <w:t xml:space="preserve">  6.2.4 This Agreement shall not confer any rights or benefits on any persons that are not parties hereto, other than as expressly set forth in this Agreement and Section 6.2 hereof.</w:t>
        <w:br/>
        <w:t xml:space="preserve">  6.2.5 No assignment by any party hereto of such party’s rights, duties and obligations hereunder shall be binding upon or obligate the Company unless and until the Company shall have received (i) written notice of such assignment as provided in Section 6.1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6.2 shall be null and void.</w:t>
        <w:br/>
        <w:t xml:space="preserve">  6.3 Counterparts. This Agreement may be executed in multiple counterparts (including facsimile or PDF counterparts), each of which shall be deemed an original, and all of which together shall constitute the same instrument, but only one of which need be produced.</w:t>
        <w:br/>
        <w:t xml:space="preserve">  6.4 Governing Law; Venue. NOTWITHSTANDING THE PLACE WHERE THIS AGREEMENT MAY BE EXECUTED BY ANY OF THE PARTIES HERETO, THE PARTIES EXPRESSLY AGREE THAT (I) THIS AGREEMENT SHALL BE GOVERNED BY AND CONSTRUED UNDER THE LAWS OF THE STATE OF DELAWARE AS APPLIED TO AGREEMENTS AMONG DELAWARE RESIDENTS ENTERED INTO AND TO BE PERFORMED ENTIRELY WITHIN DELAWARE, WITHOUT REGARD TO THE CONFLICT OF LAW PROVISIONS OF SUCH JURISDICTION AND (II) THE VENUE FOR ANY ACTION TAKEN WITH RESPECT TO THIS AGREEMENT SHALL BE THE COURT OF CHANCERY OF THE STATE OF DELAWARE OR, IF UNDER APPLICABLE LAW, EXCLUSIVE JURISDICTION OVER SUCH MATTER IS VESTED IN THE FEDERAL COURTS, ANY FEDERAL COURT IN THE STATE OF DELAWARE AND ANY APPELLATE COURT FROM ANY THEREOF.</w:t>
        <w:br/>
        <w:t xml:space="preserve">        6.5 Amendments and Modifications. Upon the written consent of the Company and the Holders of at least a majority in interest of the Registrable Securities at the time in question, compliance with any of the provisions, covenants and conditions set forth in this Agreement may be waived, or any of such provisions, covenants or conditions may be amended or modified; provided, however, that notwithstanding the foregoing, any amendment hereto or waiver hereof that adversely affects one Holder, solely in its capacity as a holder of the shares of the Company, in a manner that is materially different from the other Holders (in such capacity) shall require the consent of the Holder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 xml:space="preserve">  6.6 Other Registration Rights. The Company represents and warrants that no person, other than a Holder of Registrable Securities, has any right to require the Company to register any securities of the Company for sale or to include such securities of the Company in any Registration filed by the Company for the sale of securities for its own account or for the account of any other person. Further, the Company represents and warrants that this Agreement supersedes any other registration rights agreement or agreement with similar terms and conditions and in the event of a conflict between any such agreement or agreements and this Agreement, the terms of this Agreement shall prevail.</w:t>
        <w:br/>
        <w:t xml:space="preserve">  6.7 Term. This Agreement shall terminate upon the earlier of (i) the fifth (5th) anniversary of the date of this Agreement or (ii) the date as of which (A) all of the Registrable Securities have been sold pursuant to a Registration Statement (but in no event prior to the applicable period referred to in Section 4(a)(3) of the Securities Act and Rule 174 thereunder (or any successor rule promulgated thereafter by the Commission)) or (B) the Holders of all Registrable Securities are permitted to sell the Registrable Securities under Rule 144 (or any similar provision) under the Securities Act without limitation on the amount of securities sold or the manner of sale. The provisions of Section 3.5 and Article V shall survive any termination.</w:t>
        <w:br/>
        <w:t xml:space="preserve">  [SIGNATURE PAGES FOLLOW]</w:t>
        <w:br/>
        <w:t xml:space="preserve">        IN WITNESS WHEREOF, the undersigned have caused this Agreement to be executed as of the date first written above.</w:t>
        <w:br/>
        <w:t xml:space="preserve">  COMPANY:  </w:t>
        <w:br/>
        <w:t xml:space="preserve">    CITIUS ONCOLOGY, INC.  </w:t>
        <w:br/>
        <w:t xml:space="preserve">    By: /s/ Xxxxxxxx Xxxx  </w:t>
        <w:br/>
        <w:t xml:space="preserve">Name: Xxxxxxxx Xxxx  </w:t>
        <w:br/>
        <w:t xml:space="preserve">Title: Chief Executive Officer and Chairman  </w:t>
        <w:br/>
        <w:t xml:space="preserve">      SPONSOR EQUITYHOLDERS:  </w:t>
        <w:br/>
        <w:t xml:space="preserve">      10XYZ HOLDINGS LP  </w:t>
        <w:br/>
        <w:t xml:space="preserve">    By: /s/ Xxxxxx Xxxxx  </w:t>
        <w:br/>
        <w:t xml:space="preserve">Name: Xxxxxx Xxxxx on behalf of 10XYZ Management LLC as General Partner  </w:t>
        <w:br/>
        <w:t xml:space="preserve">      INTELLIGENT INVESTMENTS I LLC  </w:t>
        <w:br/>
        <w:t xml:space="preserve">      By: /s/ Xxxx Xxxxx  </w:t>
        <w:br/>
        <w:t xml:space="preserve">Name: Xxxx Xxxxx  </w:t>
        <w:br/>
        <w:t xml:space="preserve">Title: Managing Member  </w:t>
        <w:br/>
        <w:t xml:space="preserve">      LEGACY CITIUS ONCOLOGY EQUITYHOLDER:  </w:t>
        <w:br/>
        <w:t xml:space="preserve">    CITIUS PHARMACEUTICALS, INC.  </w:t>
        <w:br/>
        <w:t xml:space="preserve">      By: /s/ Xxxxxxx Xxxxx  </w:t>
        <w:br/>
        <w:t xml:space="preserve">Name: Xxxxxxx Xxxxx  </w:t>
        <w:br/>
        <w:t xml:space="preserve">Title: Chief Executive Officer and Chairman of the Board  </w:t>
        <w:br/>
        <w:t xml:space="preserve">  [Signature Page to A&amp;R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