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WEWORK INC.</w:t>
        <w:br/>
        <w:t>and</w:t>
        <w:br/>
        <w:t>THE HOLDERS PARTY HERETO</w:t>
        <w:br/>
        <w:t xml:space="preserve">           Page  </w:t>
        <w:br/>
        <w:t>ARTICLE I REGISTRATION RIGHTS</w:t>
        <w:br/>
        <w:t xml:space="preserve">     1  </w:t>
        <w:br/>
        <w:t>Section 1.1</w:t>
        <w:br/>
        <w:t xml:space="preserve">   Definitions      1  </w:t>
        <w:br/>
        <w:t>Section 1.2</w:t>
        <w:br/>
        <w:t xml:space="preserve">   Demand Registration      5  </w:t>
        <w:br/>
        <w:t>Section 1.3</w:t>
        <w:br/>
        <w:t xml:space="preserve">   Piggyback Registrations      9  </w:t>
        <w:br/>
        <w:t>Section 1.4</w:t>
        <w:br/>
        <w:t xml:space="preserve">   Shelf Registration Statement      11  </w:t>
        <w:br/>
        <w:t>Section 1.5</w:t>
        <w:br/>
        <w:t xml:space="preserve">   Holdback Agreements      12  </w:t>
        <w:br/>
        <w:t>Section 1.6</w:t>
        <w:br/>
        <w:t xml:space="preserve">   Registration Procedures      13  </w:t>
        <w:br/>
        <w:t>Section 1.7</w:t>
        <w:br/>
        <w:t xml:space="preserve">   Registration Expenses and Selling Expenses      17  </w:t>
        <w:br/>
        <w:t>Section 1.8</w:t>
        <w:br/>
        <w:t xml:space="preserve">   Indemnification      17  </w:t>
        <w:br/>
        <w:t>Section 1.9</w:t>
        <w:br/>
        <w:t xml:space="preserve">   Rule 144 and 144A; Other Exemptions      20  </w:t>
        <w:br/>
        <w:t>Section 1.10</w:t>
        <w:br/>
        <w:t xml:space="preserve">   Certain Limitations On Registration Rights      20  </w:t>
        <w:br/>
        <w:t>Section 1.11</w:t>
        <w:br/>
        <w:t xml:space="preserve">   Limitations on Subsequent Registration Rights      20  </w:t>
        <w:br/>
        <w:t>Section 1.12</w:t>
        <w:br/>
        <w:t xml:space="preserve">   Transfer of Registration Rights      20  </w:t>
        <w:br/>
        <w:t>Section 1.13</w:t>
        <w:br/>
        <w:t xml:space="preserve">   Parties to Agreement      21  </w:t>
        <w:br/>
        <w:t>Section 1.14</w:t>
        <w:br/>
        <w:t xml:space="preserve">   Number of Registrable Securities Outstanding      21  </w:t>
        <w:br/>
        <w:t>Section 1.15</w:t>
        <w:br/>
        <w:t xml:space="preserve">   Alternative IPO Entities      21  </w:t>
        <w:br/>
        <w:t>ARTICLE II GENERAL PROVISIONS</w:t>
        <w:br/>
        <w:t xml:space="preserve">     21  </w:t>
        <w:br/>
        <w:t>Section 2.1</w:t>
        <w:br/>
        <w:t xml:space="preserve">   Entire Agreement      21  </w:t>
        <w:br/>
        <w:t>Section 2.2</w:t>
        <w:br/>
        <w:t xml:space="preserve">   Assignment; Binding Effect; No Third Party Beneficiaries      21  </w:t>
        <w:br/>
        <w:t>Section 2.3</w:t>
        <w:br/>
        <w:t xml:space="preserve">   Notices      22  </w:t>
        <w:br/>
        <w:t>Section 2.4</w:t>
        <w:br/>
        <w:t xml:space="preserve">   Specific Performance; Remedies      22  </w:t>
        <w:br/>
        <w:t>Section 2.5</w:t>
        <w:br/>
        <w:t xml:space="preserve">   Submission to Jurisdiction; Waiver of Jury Trial      22  </w:t>
        <w:br/>
        <w:t>Section 2.6</w:t>
        <w:br/>
        <w:t xml:space="preserve">   Governing Law      23  </w:t>
        <w:br/>
        <w:t>Section 2.7</w:t>
        <w:br/>
        <w:t xml:space="preserve">   Headings      23  </w:t>
        <w:br/>
        <w:t>Section 2.8</w:t>
        <w:br/>
        <w:t xml:space="preserve">   Amendments; Waivers      23  </w:t>
        <w:br/>
        <w:t>Section 2.9</w:t>
        <w:br/>
        <w:t xml:space="preserve">   Severability      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