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REGISTRATION RIGHTS AGREEMENT</w:t>
        <w:br/>
        <w:t>THIS REGISTRATION RIGHTS AGREEMENT (as the same may be amended, supplemented, restated or otherwise modified from time to time in accordance with the terms hereof, this “Agreement”) dated as of June 24, 2024, is made and entered into by and among:</w:t>
        <w:br/>
        <w:t>(i) Gogoro Inc., a Cayman Islands exempted company (the “Company”); and</w:t>
        <w:br/>
        <w:t>(ii) Castrol Holdings International Limited, a private limited company incorporated in England and Wales, and any permitted assignee or transferee who hereinafter becomes a party to this Agreement pursuant to Section 5.2 (each a “Holder” and collectively, the “Holders”).</w:t>
        <w:br/>
        <w:t>Capitalized terms used but not defined herein shall have the meanings ascribed to them in the Subscription Agreement (defined below).</w:t>
        <w:br/>
        <w:t>RECITALS</w:t>
        <w:br/>
        <w:t>WHEREAS, contemporaneously with the execution and delivery of this Agreement, the Company and Holder are entering into that certain Subscription Agreement, dated as of June 24, 2024 (the “Subscription Agreement”), whereby, among other things, Holder will subscribe for and purchase from the Company, and the Company will issue and sell to Holder, 16,887,328 ordinary shares of the Company, par value US$0.0001 per share (the “Company Ordinary Shares”), for an aggregate purchase price of US$25,000,000 (such transaction, the “Subscription”);</w:t>
        <w:br/>
        <w:t>WHEREAS, pursuant to the Subscription Agreement, concurrently with the Second Tranche Closing, the Company and Holder shall enter into that certain convertible note purchase agreement, in substantially the form attached to the Subscription Agreement (the “Note Purchase Agreement”), whereby the Company shall issue to Holder US$25,000,000 original principal amount of convertible notes, in substantially the form attached to the Subscription Agreement (the “Convertible Note”); and</w:t>
        <w:br/>
        <w:t>WHEREAS, upon any conversion of the Convertible Note in accordance with it terms, the Company will issue certain Company Ordinary Shares to Holder (and each other Person that becomes a holder of a note issued pursuant to the Convertible Note) in accordance with the terms of the Convertible Note (such Company Ordinary Shares, the “Conversion Shares”).</w:t>
        <w:br/>
        <w:t>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ARTICLE I</w:t>
        <w:br/>
        <w:t>DEFINITIONS</w:t>
        <w:br/>
        <w:t>1.1 Definitions. The terms defined in this Article I shall, for all purposes of this Agreement, have the respective meanings set forth below:</w:t>
        <w:br/>
        <w:t>“Action” shall mean any demand, action, claim, suit, countersuit, arbitration, inquiry, subpoena, case, litigation, proceeding or investigation (whether civil, criminal, administrative or investigative) by or before any court or grand jury, any Governmental Authority or any arbitration or mediation tribunal.</w:t>
        <w:br/>
        <w:t>“Adverse Disclosure” shall mean any public disclosure of material non-public information, which disclosure, in the good faith judgment of the Chief Executive Officer of the Company or the Board,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“Affiliate” shall mean, as applied to any Person, any other Person directly or indirectly controlling, controlled by or under common control with, that Person.</w:t>
        <w:br/>
        <w:t>“Agreement” shall have the meaning given in the Preamble hereto.</w:t>
        <w:br/>
        <w:t>“Amended and Restated Memorandum and Articles of Association” shall mean the Amended and Restated Memorandum and Articles of Association of the Company in effect as of the date hereof, as may be amended, modified, supplemented and restated from time to time.</w:t>
        <w:br/>
        <w:t>“Blackout Period” shall have the meaning given in Section 3.4.2.</w:t>
        <w:br/>
        <w:t>“Block Trade” shall mean an offering and/or sale of Registrable Securities on a block trade or underwritten basis (whether firm commitment or otherwise) without substantial marketing efforts prior to pricing, including, without limitation, a same day trade, overnight trade or similar transaction.</w:t>
        <w:br/>
        <w:t>“Board” shall mean the board of directors of the Company.</w:t>
        <w:br/>
        <w:t>“Commission” shall mean the Securities and Exchange Commission.</w:t>
        <w:br/>
        <w:t>“Company” shall have the meaning given in the Recitals hereto and includes the Company’s successors by recapitalization, merger, consolidation, spin-off, reorganization or similar transaction.</w:t>
        <w:br/>
        <w:t>“Company Ordinary Share” shall have the meaning given in the Recitals hereto and having the rights and being subject the restrictions, set out in the Amended and Restated Memorandum and Articles of Association.</w:t>
        <w:br/>
        <w:t>“Conversion Shares” shall have the meaning given in the Recitals hereto.</w:t>
        <w:br/>
        <w:t>“Convertible Note” shall have the meaning given in the Recitals hereto.</w:t>
        <w:br/>
        <w:t xml:space="preserve">  2</w:t>
        <w:br/>
        <w:t>“Demanding Holder” shall have the meaning given in Section 2.1.4.</w:t>
        <w:br/>
        <w:t>“Exchange Act” shall mean the Securities Exchange Act of 1934, as it may be amended from time to time.</w:t>
        <w:br/>
        <w:t>“FINRA” shall mean the Financial Industry Regulatory Authority Inc.</w:t>
        <w:br/>
        <w:t>“Form F-1 Shelf” shall have the meaning given in Section 2.1.1.</w:t>
        <w:br/>
        <w:t>“Form F-3 Shelf” shall have the meaning given in Section 2.1.1.</w:t>
        <w:br/>
        <w:t>“Governmental Authority” shall mean any federal, state, provincial, municipal, local or foreign government, governmental authority, regulatory or administrative agency (which for the purposes of this Agreement shall include FINRA and the Commission), governmental commission, department, board, bureau, agency or instrumentality, arbitral panel, court or tribunal, whether domestic, foreign, multinational, or supranational exercising executive, legislative, judicial, regulatory, self-regulatory or administrative functions of or pertaining to government and any executive official thereof.</w:t>
        <w:br/>
        <w:t>“Governmental Order” means any order, judgment, injunction, decree, writ, stipulation, determination or award, in each case, entered by or with any Governmental Authority.</w:t>
        <w:br/>
        <w:t>“Holder” and “Holders” shall have the meaning given in the Preamble hereto, for so long as such person or entity holds any Registrable Securities.</w:t>
        <w:br/>
        <w:t>“Holder Information” shall have the meaning given in Section 4.1.2.</w:t>
        <w:br/>
        <w:t>“Maximum Number of Securities” shall have the meaning given in Section 2.1.5.</w:t>
        <w:br/>
        <w:t>“Minimum Takedown Threshold” shall have the meaning given in Section 2.1.4.</w:t>
        <w:br/>
        <w:t>“Misstatement”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“New Registration Statement” shall have the meaning given in Section 2.1.7.</w:t>
        <w:br/>
        <w:t>“Note Purchase Agreement” shall have the meaning given in the Recitals hereto.</w:t>
        <w:br/>
        <w:t>“Other Coordinated Offering” shall have the meaning given in Section 2.4.1.</w:t>
        <w:br/>
        <w:t>“Person” means any individual, corporation (including not-for-profit), general or limited partnership, limited liability company, joint venture, estate, trust, association, organization, Governmental Authority or other entity of any kind or nature.</w:t>
        <w:br/>
        <w:t>“Piggyback Registration” shall have the meaning given in Section 2.2.1.</w:t>
        <w:br/>
        <w:t xml:space="preserve">  3</w:t>
        <w:br/>
        <w:t>“Prospectus” shall mean the prospectus included in any Registration Statement, as supplemented by any and all prospectus supplements and as amended by any and all post-effective amendments and including all material incorporated by reference in such prospectus.</w:t>
        <w:br/>
        <w:t>“Registrable Security” shall mean (a) any Company Ordinary Shares issued to the Holder in connection with the Subscription, (b) the Conversion Shares, and (c) any other Company Ordinary Shares issued or issuable to a Holder with respect to any securities referenced in clauses (a) and (b) above by way of a stock dividend or stock split or in connection with a recapitalization, merger, consolidation, spin-off, reorganization or similar transaction;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 (B) such securities shall have been otherwise transferred, new certificates for such securities not bearing a legend restricting further transfer shall have been delivered by the Company to the transferee, and subsequent public distribution of such securities shall not require registration under the Securities Act; (C) such securities shall have ceased to be outstanding; (D) such securities have been sold to, or through, a broker, dealer or underwriter in a public distribution or other public securities transaction; or (E) such securities become eligible for sale without restriction under Rule 144 and such Holder holds less than one percent (1%) of the total number of the then issued and outstanding Company Ordinary Shares.</w:t>
        <w:br/>
        <w:t>“Registration” shall mean a registration effected by preparing and filing a registration statement, prospectus or similar document in compliance with the requirements of the Securities Act, and the applicable rules and regulations promulgated thereunder, and such registration statement becoming effective.</w:t>
        <w:br/>
        <w:t>“Registration Expenses” shall mean the expenses of a Registration, including, without limitation, the following:</w:t>
        <w:br/>
        <w:t>(A) all registration and filing fees (including fees with respect to filings required to be made with FINRA) and any national securities exchange on which the Company Ordinary Shares are then listed;</w:t>
        <w:br/>
        <w:t>(B) fees and expenses of compliance with securities or “blue sky” laws (including reasonable fees and disbursements of outside counsel for the Underwriters in connection with “blue sky” qualifications of Registrable Securities);</w:t>
        <w:br/>
        <w:t>(C) printing, messenger, telephone and delivery expenses;</w:t>
        <w:br/>
        <w:t>(D) reasonable fees and disbursements of counsel for the Company;</w:t>
        <w:br/>
        <w:t>(E) reasonable fees and disbursements of all independent registered public accountants of the Company incurred specifically in connection with such Registration; and</w:t>
        <w:br/>
        <w:t>(F) reasonable fees and expenses of one legal counsel selected by the majority-in-interest of the securities requested to be registered by the Demanding Holders in an Underwritten Offering (not to exceed US$50,000 without the consent of the Company).</w:t>
        <w:br/>
        <w:t xml:space="preserve">  4</w:t>
        <w:br/>
        <w:t>“Registration Statement” shall mean any registration statement that covers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“Requesting Holders” shall have the meaning given in Section 2.1.5.</w:t>
        <w:br/>
        <w:t>“SEC Guidance” shall have the meaning given in Section 2.1.7.</w:t>
        <w:br/>
        <w:t>“Securities Act” shall mean the Securities Act of 1933, as amended from time to time.</w:t>
        <w:br/>
        <w:t>“Shelf” shall mean the Form F-1 Shelf, the Form F-3 Shelf, or any Subsequent Shelf Registration, as the case may be.</w:t>
        <w:br/>
        <w:t>“Shelf Registration” shall mean a registration of securities pursuant to a registration statement filed with the Commission in accordance with and pursuant to Rule 415 promulgated under the Securities Act (or any successor rule then in effect).</w:t>
        <w:br/>
        <w:t>“Subscription” shall have the meaning given in the Recitals hereto.</w:t>
        <w:br/>
        <w:t>“Subscription Agreement” shall have the meaning given in the Recitals hereto.</w:t>
        <w:br/>
        <w:t>“Subsequent Shelf Registration” shall have the meaning given in Section 2.1.2.</w:t>
        <w:br/>
        <w:t>“Transfer” shall mean the (a) sale of, offer to sell, contract or agreement to sell, hypothecate, pledge, grant of any option to purchase or otherwise dispose of or agreement to dispose of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“Underwriter” shall mean a securities dealer who purchases any Registrable Securities as principal and not as part of such dealer’s market-making activities.</w:t>
        <w:br/>
        <w:t>“Underwritten Offering” shall mean a Registration in which securities of the Company are sold to an Underwriter in a firm commitment underwriting for distribution to the public.</w:t>
        <w:br/>
        <w:t>“Underwritten Shelf Takedown” shall have the meaning given in Section 2.1.4.</w:t>
        <w:br/>
        <w:t>“Withdrawal Notice” shall have the meaning given in Section 2.1.6.</w:t>
        <w:br/>
        <w:t xml:space="preserve">  5</w:t>
        <w:br/>
        <w:t>ARTICLE II</w:t>
        <w:br/>
        <w:t>REGISTRATIONS AND OFFERINGS</w:t>
        <w:br/>
        <w:t>2.1 Shelf Registration.</w:t>
        <w:br/>
        <w:t>2.1.1 Filing. Subject to the terms and conditions hereof and Applicable Laws, the Company shall file within 60 days of the Closing Date, and use commercially reasonable efforts to cause to be declared effective as soon as practicable thereafter, a Registration Statement for a Shelf Registration on Form F-1 or Form S-1, as applicable (the “Form F-1 Shelf”) or, if the Company is eligible to use a Registration Statement on Form F-3 or Form S-3, a Shelf Registration on Form F-3 or Form S-3, as applicable (the “Form F-3 Shelf”), in each case, covering the resale of all the Registrable Securities (determined as of two Business Days prior to such filing) on a delayed or continuous basis; provided, however, that the Company’s obligations to include the Registrable Securities held by a Holder in the Shelf are contingent upon such Holder furnishing in writing to the Company such information regarding the Holder, the securities of the Company held by the Holder and the intended method of disposition of the Registrable Securities as shall be reasonably requested by the Company to effect the registration of the Registrable Securities, and the Holder shall execute such documents in connection with such registration as the Company may reasonably request that are customary of a selling shareholder in similar situations. Such Shelf shall provide for the resale of the Registrable Securities included therein pursuant to any method or combination of methods legally available to, and requested by, any Holder named therein. The Company shall maintain a Shelf in accordance with the terms hereof, and shall prepare and file with the SEC such amendments, including post-effective amendments, and supplements as may be necessary to keep a Shelf continuously effective, available for use and in compliance with the provisions of the Securities Act until such time as there are no longer any Registrable Securities. In the event the Company files a Form F-1 Shelf, the Company shall use its commercially reasonable efforts to convert the Form F-1 Shelf (and any Subsequent Shelf Registration) to a Form F-3 Shelf as soon as practicable after the Company is eligible to use Form F-3.</w:t>
        <w:br/>
        <w:t>2.1.2 Subsequent Shelf Registration. If any Shelf ceases to be effective under the Securities Act for any reason at any time while Registrable Securities are still outstanding, upon written request from the Holders, the Company shall, subject to Section 3.4, use its commercially reasonable efforts to as promptly as is reasonably practicable cause such Shelf to again become effective under the Securities Act (including obtaining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registering the resale of all Registrable Securities (determined as of two Business Days prior to such filing), and pursuant to any method or combination of methods legally available to, and requested by, any Holder named therein. If a Subsequent Shelf Registration is filed, the Company shall use its commercially reasonable efforts to (i) cause such Subsequent Shelf Registration to become effective under the Securities Act as promptly as is reasonably practicable after the filing thereof (it being agreed that the Subsequent Shelf Registration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continuously effective, available for use and in compliance with the provisions of the Securities Act until such time as there are no longer any Registrable Securities. Any such Subsequent Shelf Registration shall be on Form F-3 or Form S-3, as applicable, to the extent that the Company is eligible to use such form. Otherwise, such Subsequent Shelf Registration shall be on another appropriate form.</w:t>
        <w:br/>
        <w:t xml:space="preserve">  6</w:t>
        <w:br/>
        <w:t>2.1.3 Additional Registrable Securities. Subject to Section 3.4, in the event that any Holder holds Registrable Securities that are not registered for resale on a delayed or continuous basis, the Company, upon written request of the Holder, shall promptly use its commercially reasonable efforts to cause the resale of such Registrable Securities to be covered by either, at the Company’s option, any then available Shelf (including by means of a post-effective amendment) or by filing a Subsequent Shelf Registration and cause the same to become effective as soon as practicable after such filing and such Shelf or Subsequent Shelf Registration shall be subject to the terms hereof; provided, however, that the Company shall only be required to cause such Registrable Securities to be covered twice per calendar year for any Holder.</w:t>
        <w:br/>
        <w:t>2.1.4 Requests for Underwritten Shelf Takedowns. At any time and from time to time when an effective Shelf is on file with the Commission, subject to the terms and conditions hereof and Applicable Laws, any Holder (being, in such case, a “Demanding Holder”) may request to sell all or any portion of its Registrable Securities in an Underwritten Offering or Other Coordinated Offering that is registered pursuant to the Shelf (each, an “Underwritten Shelf Takedown”); provided, that the Company shall only be obligated to effect an Underwritten Shelf Takedown if such offering shall include Registrable Securities proposed to be sold by all Holders selling any Registrable Securities in such offering with a total offering price reasonably expected to exceed, in the aggregate, US$10 million (the “Minimum Takedown Threshold”); and under no circumstances shall the Company be obligated to effect more than an aggregate of two (2) Underwritten Shelf Takedowns in any consecutive 12-month period. All requests for Underwritten Shelf Takedowns shall be made by giving written notice to the Company at least ten days prior to the public announcement of such Underwritten Shelf Takedown, which shall specify the approximate number of Registrable Securities proposed to be sold in the Underwritten Shelf Takedown. Subject to Section 2.4.4, the Demanding Holder shall have the right to select the Underwriters for such offering (which shall consist of one or more reputable nationally recognized investment banks), subject to the Company’s prior approval (which shall not be unreasonably withheld, conditioned or delayed). Such Demanding Holders shall enter into an underwriting agreement in customary form with the Underwriter(s) selected for such Underwritten Shelf Takedown.</w:t>
        <w:br/>
        <w:t>2.1.5 Reduction of Underwritten Offering. If the managing Underwriter or Underwriters in an Underwritten Shelf Takedown, in good faith, advises the Company, the Demanding Holder and the Holders requesting piggy back rights pursuant to this Agreement with respect to such Underwritten Shelf Takedown (the “Requesting Holders”) (if any) in writing that the dollar amount or number of Registrable Securities that the Demanding Holder and the Requesting Holders (if any) desire to sell, taken together with all other Company Ordinary Shares or other equity securities that the Company desires to sell and all other Company Ordinary Shares or other equity securities, if any, that have been requested to be sold in such Underwritten Offering pursuant to separate written contractual piggy-back registration rights held by any other shareholders,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before including any Company Ordinary Shares or other equity securities proposed to be sold by Company or by other holders of Company Ordinary Shares or other equity securities, the Registrable Securities of the Demanding Holder and the Requesting Holders (if any) (pro rata based on the respective number of Registrable Securities that such Demanding Holder and Requesting Holder (if any) has requested be included in such Underwritten Shelf Takedown and the aggregate number of Registrable Securities that the Demanding Holder and Requesting Holders have requested be included in such Underwritten Shelf Takedown) that can be sold without exceeding the Maximum Number of Securities.</w:t>
        <w:br/>
        <w:t xml:space="preserve">  7</w:t>
        <w:br/>
        <w:t>2.1.6 Withdrawal. Prior to the filing of the applicable “red xxxxxxx” prospectus or prospectus supplement used for marketing such Underwritten Shelf Takedown, the Demanding Holder initiating an Underwritten Shelf Takedown shall have the right to withdraw from such Underwritten Shelf Takedown for any or no reason whatsoever upon written notification (a “Withdrawal Notice”) to the Company and the Underwriter or Underwriters (if any) of its intention to withdraw from such Underwritten Shelf Takedown, and such Underwritten Shelf Takedown shall not be counted as a demand for an Underwritten Shelf Takedown under Section 2.1.4; provided that the Requesting Holders may elect to have the Company continue an Underwritten Shelf Takedown if the Minimum Takedown Threshold would still be satisfied by the Registrable Securities proposed to be sold in the Underwritten Shelf Takedown. Following the receipt of any Withdrawal Notice, the Company shall promptly forward such Withdrawal Notice to any other Holders that had elected to participate in such Underwritten Shelf Takedown. Notwithstanding anything to the contrary in this Agreement, the Company shall be responsible for the Registration Expenses incurred in connection with an Underwritten Shelf Takedown prior to its withdrawal under this Section 2.1.6.</w:t>
        <w:br/>
        <w:t>2.1.7 New Registration Statement. Notwithstanding the registration obligations set forth in this Section 2.1, in the event the Commission informs the Company that the Registrable Securities cannot, as a result of the application of Rule 415, be registered for resale as a secondary offering on a single registration statement, the Company agrees to promptly (i) inform each of the Holders thereof and use its commercially reasonable efforts to file amendments to the Shelf Registration as required by the Commission and/or (ii) withdraw the Shelf Registration and file a new registration statement (a “New Registration Statement”), on Form F-3 or if Form F-3 is not then available to the Company for such registration statement (including, but not limited to, Form S-3), on such other form available to register for resale of the Registrable Securities as a secondary offering; provided, however, that prior to filing such amendment or New Registration Statement, the Company shall use its commercially reasonable efforts to advocate with the Commission for the registration of all of the Registrable Securities in accordance with any publicly-available written or oral guidance, comments, requirements or requests of the Commission staff (“SEC Guidance”), including without limitation, the Manual of Publicly Available Telephone Interpretations D.29. Notwithstanding any other provision of this Agreement, if any SEC Guidance sets forth a limitation on the number of Registrable Securities permitted to be registered on a particular Registration Statement as a secondary offering (and notwithstanding that the Company advocated with the Commission for the registration of all or a greater number of Registrable Securities), unless otherwise directed in writing by a Holder as to its Registrable Securities, the number of Registrable Securities to be registered on such Registration Statement will be reduced on a pro rata basis based on the total number of Registrable Securities held by the Holders, subject to a determination by the Commission that certain Holders must be reduced first based on the number of Registrable Securities held by such Holders. In the event the Company amends the Shelf Registration or files a New Registration Statement, as the case may be, under clauses (i) or (ii) above, the Company will file with the Commission, as promptly as allowed by Commission or SEC Guidance provided to the Company or to registrants of securities in general, one or more registration statements on Form F-3, Form S-3 or such other form available to register for resale those Registrable Securities that were not registered for resale on the Shelf Registration, as amended, or the New Registration Statement.</w:t>
        <w:br/>
        <w:t xml:space="preserve">  8</w:t>
        <w:br/>
        <w:t>2.1.8 Effective Registration. Notwithstanding the provisions of Section 2.1.4 above or any other part of this Agreement, a Registration shall not count as a Registration unless and until (i) the Registration Statement has been declared effective by the Commission, and (ii) the Company has complied with all of its obligations under this Agreement with respect thereto; provided, however, that, if after such Registration Statement has been declared effective, an offering of Registrable Securities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a majority-in-interest of the Demanding Holders initiating such Registration thereafter affirmatively elect to continue with such Registration and accordingly notify the Company in writing, but in no event later than five (5) days, of such election;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2.2 Piggyback Registration.</w:t>
        <w:br/>
        <w:t>2.2.1 Piggyback Rights. Subject to Section 2.4.3 and Section 2.2.5, if the Company or any Holder proposes to conduct a registered offering of, or if the Company proposes to file a Registration Statement under the Securities Act with respect to the Registration of, equity securities, or securities or other obligations exercisable or exchangeable for, or convertible into equity securities, for its own account or for the account of shareholders of the Company (or by the Company and by the shareholders of the Company including, without limitation, an Underwritten Shelf Takedown pursuant to Section 2.1), other than a Registration Statement (or any registered offering with respect thereto) (i) filed in connection with any employee stock option or other benefit plan, (ii) pursuant to a Registration Statement on Form F-4 or Form S-4 (or other similar form that relates to a transaction subject to Rule 145 under the Securities Act or any successor rule thereto), (iii) for an offering of debt that is convertible into equity securities of the Company, (iv) for a dividend reinvestment plan, or (v) for a rights offering, then the Company shall give written notice of such proposed offering to all of the Holders of Registrable Securities as soon as practicable but not less than ten (10)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include in such registered offering such number of Registrable Securities as such Holders may request in writing within five (5) days after receipt of such written notice (such registered offering, a “Piggyback Registration”). Subject to Section 2.2.2 and Section 2.2.5, the Company shall, in good faith, cause such Registrable Securities to be included in such Piggyback Registration and, if applicable, shall use its commercially reasonable efforts to cause the managing Underwriter or Underwriters of such Piggyback Registration to permit the Registrable Securities requested by the Holders pursuant to this Section 2.2.1 to be included therein on the same terms and conditions as any similar securities of the Company included in such registered offering and to permit the sale or other disposition of such Registrable Securities in accordance with the intended method(s) of distribution thereof. The inclusion of any Holder’s Registrable Securities in a Piggyback Registration shall be subject to such Holder’s agreement to enter into an underwriting agreement in customary form with the Underwriter(s) selected for such Underwritten Offering by the Company.</w:t>
        <w:br/>
        <w:t xml:space="preserve">  9</w:t>
        <w:br/>
        <w:t>2.2.2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the Company Ordinary Shares or other equity securities that the Company desires to sell, taken together with (i) the Company Ordinary Shares or other equity securities, if any, as to which Registration or a registered offering has been demanded pursuant to separate written contractual arrangements with persons or entities other than the Holders of Registrable Securities hereunder, (ii) the Registrable Securities as to which registration has been requested pursuant to Section 2.2.1, and (iii) the Company Ordinary Shares or other equity securities, if any, as to which Registration or a registered offering has been requested pursuant to separate written contractual piggy-back registration rights of other shareholders of the Company, exceeds the Maximum Number of Securities, then:</w:t>
        <w:br/>
        <w:t>(a) if the Registration or registered offering is undertaken for the Company’s account, the Company shall include in any such Registration or registered offering (A) first, the Company Ordinary Shares or other equity securities that the Company desires to sell, which can be sold without exceeding the Maximum Number of Securities; and (B) second, to the extent that the Maximum Number of Securities has not been reached under the foregoing clause (A) and (1) the Gold Sino Piggyback Rights Amendment (as defined below) is obtained in accordance with Section 2.2.5, the Registrable Securities of Holders exercising their rights to register their Registrable Securities pursuant to Section 2.2.1 and the shares of Company Ordinary Shares or other equity securities requested by holders under the Gold Sino Agreement (as defined below) exercising their rights to register their shares of Company Ordinary Shares or other equity securities, pro rata, based on the respective number of Registrable Securities and Company Ordinary Shares or other equity securities, if any, that each Holder and each holder under the Gold Sino Agreement has requested be included in such Underwritten Offering and the aggregate number of Registrable Securities and shares of Company Ordinary Shares or other equity securities, if any, that the Holders and such holders under the Gold Sino Agreement have requested to be included in such Underwritten Offering or if (2) the Gold Sino Piggyback Rights Amendment is not obtained in accordance with Section 2.2.5, the Registrable Securities of Holders exercising their rights to register their Registrable Securities pursuant to Section 2.2.1 based on the respective number of Registrable Securities that each Holder has requested to be included in such Underwritten Offering after the Company has complied with the request, if any, by holders under the Gold Sino Agreement exercising their rights to register their shares of Company Ordinary Shares or other equity securities, in each case, in such Underwritten Offering, which can be sold without exceeding the Maximum Number of Securities;</w:t>
        <w:br/>
        <w:t xml:space="preserve">  10</w:t>
        <w:br/>
        <w:t>(b) if the Registration or registered offering is pursuant to a request by persons or entities other than the Holders of Registrable Securities, then the Company shall include in any such Registration or registered offering (A) first, the Company Ordinary Shares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and (1) the Gold Sino Piggyback Rights Amendment is obtained in accordance with Section 2.2.5, the Registrable Securities of Holders exercising their rights to register their Registrable Securities pursuant to Section 2.2.1 and the shares of Company Ordinary Shares or other equity securities requested by holders under the Gold Sino Agreement exercising their rights to register their shares of Company Ordinary Shares or other equity securities, pro rata, based on the respective number of Registrable Securities and Company Ordinary Shares or other equity securities, if any, that each Holder and each holder under the Gold Sino Agreement has requested be included in such Underwritten Offering and the aggregate number of Registrable Securities and shares of Company Ordinary Shares or other equity securities, if any, that the Holders and such holders under the Gold Sino Agreement have requested to be included in such Underwritten Offering or if (2) the Gold Sino Piggyback Rights Amendment is not obtained in accordance with Section 2.2.5, the Registrable Securities of Holders exercising their rights to register their Registrable Securities pursuant to Section 2.2.1 based on the respective number of Registrable Securities that each Holder has requested to be included in such Underwritten Offering after the Company has complied with the request, if any, by holders under the Gold Sino Agreement exercising their rights to register their shares of Company Ordinary Shares or other equity securities, in each case, in such Underwritten Offering, which can be sold without exceeding the Maximum Number of Securities, (C) third, to the extent that the Maximum Number of Securities has not been reached under the foregoing clauses (A) and (B), the shares of Company Ordinary Shares or other equity securities that the Company desires to sell, which can be sold without exceeding the Maximum Number of Securities; and</w:t>
        <w:br/>
        <w:t>(c) if the Registration or registered offering is pursuant to a request by Holder(s) of Registrable Securities pursuant to Section 2.1, then the Company shall include in any such Registration or registered offering securities in the priority set forth in Section 2.1.5.</w:t>
        <w:br/>
        <w:t>2.2.3 Piggyback Registration Withdrawal. Any Holder of Registrable Securities (other than the Demanding Holder, whose right to withdrawal from an Underwritten Shelf Takedown, and related obligations, shall be governed by Section 2.1.6)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pursuant to separate written contractual obligations) may withdraw a Registration Statement filed with the Commission in connection with a Piggyback Registration (which, in no circumstance, shall include the Shelf) at any time prior to the effectiveness of such Registration Statement. Notwithstanding anything to the contrary in this Agreement (other than Section 2.1.6), the Company shall be responsible for the Registration Expenses incurred in connection with the Piggyback Registration prior to its withdrawal under this Section 2.2.3.</w:t>
        <w:br/>
        <w:t xml:space="preserve">  11</w:t>
        <w:br/>
        <w:t>2.2.4 Unlimited Piggyback Registration Rights. For purposes of clarity, subject to Section 2.1.6, any Piggyback Registration effected pursuant to Section 2.2 shall not be counted as a demand for an Underwritten Shelf Takedown under Section 2.1.4.</w:t>
        <w:br/>
        <w:t>2.2.5 Amendment to Existing Registration Rights.</w:t>
        <w:br/>
        <w:t>(a) Notwithstanding any other provision of this Agreement, during the 30-day period beginning on the date hereof, the Company shall use commercially reasonable efforts to take, or cause to be taken, as promptly as practicable, all actions necessary, proper or advisable to obtain the required consent, waiver or other modification of the terms and conditions of the Share and Warrant Purchase Agreement, dated as of May 31, 2024, between the Company and Gold Sino Assets Limited (“Gold Sino”) (the “Gold Sino Agreement”), pursuant to Section 11(g) of the Gold Sino Agreement, solely for the purpose of amending and restating the “piggyback registration rights” under Schedule 2(b) of the Gold Sino Agreement to include Piggyback Registration rights in the form set forth in Section 2.2.2(a)(B)(1) and Section 2.2.2(b)(B)(1) of this Agreement (such consent, waiver or other modification, the “Gold Sino Piggyback Rights Amendment”). During such 30-day period, the Company shall provide the Holder with reasonably prompt updates regarding its progress in obtaining the Gold Sino Piggyback Rights Amendment.</w:t>
        <w:br/>
        <w:t>(b) If (i) the Company is unable to obtain the Gold Sino Piggyback Rights Amendment in accordance with Section 2.2.5(a) and (ii) an Underwritten Offering that is to be a Piggyback Registration is thereafter proposed to be conducted in accordance with this Section 2.2, during the 30-day period prior to any such Underwritten Offering, the Company shall use commercially reasonable efforts to take, or cause to be taken, as promptly as practicable, all actions necessary, proper or advisable to again obtain the Gold Sino Piggyback Rights Amendment in accordance with its obligations set forth in Section 2.2.5(a).</w:t>
        <w:br/>
        <w:t>2.3 Market Stand-off. In connection with any Underwritten Offering of equity securities of the Company (other than a Block Trade or Other Coordinated Offering), each Holder given an opportunity to participate in the Underwritten Offering pursuant to the terms of this Agreement agrees that it shall not initiate a new Transfer of any Company Ordinary Shares or other equity securities of the Company (other than those included in such offering pursuant to this Agreement), without the prior written consent of the Company, during the 90-day period beginning on the date of pricing of such offering or such shorter period during which the Company agrees not to conduct an underwritten primary offering of Company Ordinary Shares, except (i) in the event the Underwriters managing the offering otherwise agree by written consent and (ii) Rule 10b5-1 trading plans (or similar plan) in effect prior to such 90-day period. Each Holder agrees to execute a customary lock-up agreement in favor of the Underwriters to such effect (in each case on substantially the same terms and conditions as all such Holders).</w:t>
        <w:br/>
        <w:t xml:space="preserve">  12</w:t>
        <w:br/>
        <w:t>2.4 Block Trades; Other Coordinated Offerings.</w:t>
        <w:br/>
        <w:t>2.4.1 Notwithstanding any other provision of Article II, but subject to Sections 2.3 and 3.4, at any time and from time to time when an effective Shelf is on file with the Commission and effective, if a Demanding Holder wishes to engage in (a) a Block Trade or (b) an “at the market” or similar registered offering through a broker, sales agent or distribution agent, whether as agent or principal (an “Other Coordinated Offering”), in each case with a total offering price reasonably expected to exceed, in the aggregate, either the lesser of (x) US$10 million and (y) all remaining Registrable Securities held by the Demanding Holder, then notwithstanding the time periods provided for in Section 2.1.4, such Demanding Holder shall notify the Company of the Block Trade or Other Coordinated Offering at least five (5) Business Days prior to the day such offering is to commence and the Company shall as expeditiously as possible use its commercially reasonable efforts to facilitate such Block Trade or Other Coordinated Offering; provided that the Demanding Holders representing a majority of the Registrable Securities wishing to engage in the Block Trade or Other Coordinated Offering shall use commercially reasonable efforts to work with the Company and any Underwriters or placement agents or sales agents prior to making such request in order to facilitate preparation of the registration statement, prospectus and other offering documentation related to the Block Trade or Other Coordinated Offering and any related due diligence and comfort procedures, in accordance with Sections 3.1.11 and 3.1.12.</w:t>
        <w:br/>
        <w:t>2.4.2 Prior to the filing of the applicable “red xxxxxxx” prospectus or prospectus supplement used in connection with a Block Trade or Other Coordinated Offering, a majority-in-interest of the Demanding Holders initiating such Block Trade or Other Coordinated Offering shall have the right to submit a Withdrawal Notice to the Company and the Underwriter or Underwriters or placement agents or sales agents (if any) of their intention to withdraw from such Block Trade or Other Coordinated Offering. Notwithstanding anything to the contrary in this Agreement, the Company shall be responsible for the Registration Expenses incurred in connection with a Block Trade or Other Coordinated Offering prior to its withdrawal under this Section 2.4.2.</w:t>
        <w:br/>
        <w:t>2.4.3 Any Registration effected pursuant to this Section 2.4 shall be deemed an Underwritten Shelf Takedown and within the cap on Underwritten Shelf Takedowns provided in the last sentence of Section 2.1.4. Notwithstanding anything to the contrary in this Agreement, Section 2.2 shall not apply to a Block Trade or Other Coordinated Offering initiated by a Demanding Holder pursuant to this Agreement.</w:t>
        <w:br/>
        <w:t>2.4.4 The Company shall have the right to consent to the Underwriters and any sale agents or placement agents (if any) for such Block Trade or Other Coordinated Offering (in each case, which shall consist of one or more reputable nationally recognized investment banks), which consent will not be unreasonably withheld, conditioned or delayed.</w:t>
        <w:br/>
        <w:t>2.4.5 The Company represents that, as of the date hereof, no Person has the right to request or require it to register any equity securities issued by it, other than such registration rights granted pursuant to the Gold Sino Agreement. The Company will not grant any Person any registration rights with respect to the capital stock of the Company that are prior in right or in conflict or inconsistent with the rights of the Holders as set forth in this Article II in any material respect (it being understood that this shall not preclude the grant of additional demand and piggyback registration rights in and of themselves so long as such rights are not prior in right to the rights under this Agreement and no piggyback registration rights shall apply to any Block Trade effected by the Holders).</w:t>
        <w:br/>
        <w:t xml:space="preserve">  13</w:t>
        <w:br/>
        <w:t>ARTICLE III</w:t>
        <w:br/>
        <w:t>COMPANY PROCEDURES</w:t>
        <w:br/>
        <w:t>3.1 General Procedures. In connection with any Shelf and/or Underwritten Shelf Takedown, the Company shall use its commercially reasonable efforts to effect such Registration to permit the sale of such Registrable Securities in accordance with the intended plan of distribution thereof, and pursuant thereto the Company shall, as expeditiously as possible:</w:t>
        <w:br/>
        <w:t>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have ceased to be Registrable Securities;</w:t>
        <w:br/>
        <w:t>3.1.2 prepare and file with the Commission such amendments and post-effective amendments to the Registration Statement, and such supplements to the Prospectus, as may be reasonably requested by any Holder that holds at least five (5.0%) percent of the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w:t>
        <w:br/>
        <w:t>3.1.4 prior to any public offering of Registrable Securities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14</w:t>
        <w:br/>
        <w:t>3.1.5 cause all such Registrable Securities to be listed on each national securities exchange on which similar securities issued by the Company are then listed;</w:t>
        <w:br/>
        <w:t>3.1.6 provide a transfer agent or warrant agent, as applicable, and registrar for all such Registrable Securities no later than the effective date of such Registration Statement;</w:t>
        <w:br/>
        <w:t>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3.1.8 at least two (2) days prior to the filing of any Registration Statement or Prospectus or any amendment or supplement to such Registration Statement or Prospectus (or such shorter period of time as may be necessary in order to comply with the Securities Act, the Exchange Act, and the rules and regulations promulgated under the Securities Act or Exchange Act, as applicable), furnish a copy thereof to each seller of such Registrable Securities or its counsel (excluding any exhibits thereto and any filing made under the Exchange Act that is to be incorporated by reference therein);</w:t>
        <w:br/>
        <w:t>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w:t>
        <w:br/>
        <w:t>3.1.10 permit a representative of the Holders, the Underwriter(s), if any, and any attorney or accountant retained by such Holders or Underwriter to participate, at each such person’s own expense (except as otherwise set forth herein) in the preparation of the Registration Statement, and cause the Company’s officers, directors and employees to supply all information reasonably requested by any such representative, Underwriter(s), attorney or accountant in connection with the Registration; provided, however, that such representatives or Underwriter(s) agree to confidentiality arrangements in form and substance reasonably satisfactory to the Company, prior to the release or disclosure of any such information;</w:t>
        <w:br/>
        <w:t>3.1.11 obtain a “comfort” letter from the Company’s independent registered public accountants in the event of an Underwritten Offering, Block Trade or Other Coordinated Offering that is registered pursuant to a Registration Statement, in customary form and covering such matters of the type customarily covered by “comfort” letters as the managing Underwriter or other similar type of sales agent or placement agent may reasonably request, and reasonably satisfactory to a majority-in-interest of the participating Holders;</w:t>
        <w:br/>
        <w:t>3.1.12 on the date the Registrable Securities are delivered for sale pursuant to such Registration, obtain an opinion, dated such date, of counsel representing the Company for the purposes of such Registration, addressed to the Holders, the placement agent(s) or sales agent(s), if any, and the Underwriter(s), if any, covering such legal matters with respect to the Registration in respect of which such opinion is being given as the Holders, the placement agent(s), sales agent(s), or Underwriter(s) may reasonably request and as are customarily included in such opinions;</w:t>
        <w:br/>
        <w:t xml:space="preserve">  15</w:t>
        <w:br/>
        <w:t>3.1.13 in the event of any Underwritten Offering or Other Coordinated Offering that is registered pursuant to a Registration Statement, enter into and perform its obligations under an underwriting agreement, sales agreement or placement agreement, in usual and customary form, with the managing Underwriter(s), sales agent(s) or placement agent(s) of such offering;</w:t>
        <w:br/>
        <w:t>3.1.14 make available to its security holders, as soon as reasonably practicable, an earnings statement covering the period of at least 12 months beginning with the first day of the Company’s first full calendar quarter after the effective date of the Registration Statement which satisfies the provisions of Section 11(a) of the Securities Act and Rule 158 thereunder (or any successor rule then in effect);</w:t>
        <w:br/>
        <w:t>3.1.15 if the Registration involves the Registration of Registrable Securities involving gross proceeds in excess of US$15 million with respect to an Underwritten Offering pursuant to Section 2.1.4, use its commercially reasonable efforts to make available senior executives of the Company to participate in customary “road show” presentations that may be reasonably requested by the Underwriter(s) in such Underwritten Offering;</w:t>
        <w:br/>
        <w:t>3.1.16 otherwise, in good faith, cooperate reasonably with, and take such customary actions as may reasonably be requested by the Holders, in connection with such Registration; and</w:t>
        <w:br/>
        <w:t>3.1.17 upon request of a Holder, the Company shall (i) authorize the Company’s transfer agent to remove any legend on share certificates of such Holder’s Company Ordinary Shares restricting further transfer (or any similar restriction in book entry positions of such Holder) if such restrictions are no longer required by the Securities Act or any applicable state securities laws or any agreement with the Company to which such Holder is a party, including if such shares subject to such a restriction have been sold on a Registration Statement, (ii) request the Company’s transfer agent to issue in lieu thereof Company Ordinary Shares without such restrictions to the Holder upon, as applicable, surrender of any stock certificates evidencing such shares of Company Ordinary Shares, or to update the applicable book entry position of such Holder so that it no longer is subject to such a restriction, and (iii) use commercially reasonable efforts to cooperate with such Holder to have such Holder’s Company Ordinary Shares transferred into a book-entry position at the transfer agent, in each case, subject to delivery of customary documentation, including any documentation required by such restrictive legend or book-entry notation.</w:t>
        <w:br/>
        <w:t>3.1.18 Notwithstanding the foregoing, the Company shall not be required to provide any documents or information to an Underwriter or other sales agent or placement agent if such Underwriter or other sales agent or placement agent has not then been named with respect to the applicable Underwritten Offering or Other Coordinated Offering that is registered pursuant to a Registration Statement.</w:t>
        <w:br/>
        <w:t xml:space="preserve">  16</w:t>
        <w:br/>
        <w:t>3.2 Registration Expenses. All Registration Expenses shall be borne by the Company. It is acknowledged by the Holders that the Holders selling any Registrable Securities in an offering shall bear all transfer taxes and selling expenses relating to the sale of Registrable Securities, such as Underwriters’ or agents’ commissions and discounts, brokerage fees, Underwriter marketing costs and, other than as set forth in the definition of “Registration Expenses,” all reasonable fees and expenses of any legal counsel representing the Holders, in each case pro rata based on the number of Registrable Securities that such Holders have sold in such Registration.</w:t>
        <w:br/>
        <w:t>3.3 Requirements for Participation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 No person may participate in any Underwritten Offering or Other Coordinated Offering for equity securities of the Company pursuant to a Registration initiated by the Company hereunder unless such person (i) agrees to sell such person’s securities on the basis provided in any arrangements approved by the Company and (ii) completes and executes all customary questionnaires, powers of attorney, indemnities, lock-up agreements, underwriting or other agreements and other customary documents as may be reasonably required under the terms of such arrangements. The exclusion of a Holder’s Registrable Securities as a result of this Section 3.3 shall not affect the registration of the other Registrable Securities to be included in such Registration.</w:t>
        <w:br/>
        <w:t>3.4 Suspension of Sales; Adverse Disclosure; Restrictions on Registration Rights.</w:t>
        <w:br/>
        <w:t>3.4.1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and, if necessary, to request the immediate effectiveness thereof), or until it is advised in writing by the Company that the use of the Prospectus may be resumed.</w:t>
        <w:br/>
        <w:t>3.4.2 Notwithstanding anything in this Agreement to the contrary, if the filing, initial effectiveness or continued use of a Registration Statement in respect of any Registration at any time would (a) require the Company to make an Adverse Disclosure, (b) require the inclusion in such Registration Statement of financial statements that are unavailable to the Company for reasons beyond the Company’s control, or (c) in the good faith judgment of the majority of the Board, be materially detrimental to the Company and the majority of the Board concludes as a result that it is essential to defer such filing, initial effectiveness or continued use at such time, the Company may, upon giving prompt written notice of such action to the Holders, delay the filing or initial effectiveness of, or suspend use of, such Registration Statement for the shortest period of time determined in good faith by the Company to be necessary for such purpose (any such period, a “Blackout Period”);. provided, that no Blackout Period shall exceed more than 60 consecutive days after the request of the Holders is given. In the event the Company exercises its rights under this Section 3.4.2 the Holders agree to suspend, immediately upon their receipt of the notice referred to above, their use of the Prospectus relating to any Registration in connection with any sale or offer to sell Registrable Securities.</w:t>
        <w:br/>
        <w:t xml:space="preserve">  17</w:t>
        <w:br/>
        <w:t>3.4.3 (a) During the period starting with the date 60 days prior to the Company’s good faith estimate of the date of the filing of, and ending on a date 120 days after the effective date of, a Company-initiated Registration and provided that the Company continues to actively employ, in good faith, all reasonable efforts to maintain the effectiveness of the applicable Shelf, or (b) if, pursuant to Section 2.1.4, Holders have requested an Underwritten Shelf Takedown and the Company and such Holders are unable to obtain the commitment of underwriters to firmly underwrite such offering, the Company may, upon giving prompt written notice of such action to the Holders, delay any other registered offering pursuant to Sections 2.1.4 or 2.4.</w:t>
        <w:br/>
        <w:t>3.4.4 The right to delay or suspend any filing, initial effectiveness or continued use of a Registration Statement pursuant to Section 3.4.2 or a registered offering pursuant to Section 3.4.3 shall be exercised by the Company, in the aggregate, for not more than 60 consecutive calendar days and not more than twice during any 12-month period.</w:t>
        <w:br/>
        <w:t>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the Electronic Data Gathering, Analysis and Retrieval System shall be deemed to have been furnished or delivered to the Holders pursuant to this Section 3.5. The Company further covenants that it shall take such further action as any Holder may reasonably request, all to the extent required from time to time to enable such Holder to sell Registrable Securities held by such Holder without registration under the Securities Act within the limitation of the exemptions provided by Rule 144 promulgated under the Securities Act (or any successor rule then in effect). Upon the request of any Holder, the Company shall deliver to such Holder a written certification of a duly authorized officer as to whether it has complied with such requirements.</w:t>
        <w:br/>
        <w:t>ARTICLE IV</w:t>
        <w:br/>
        <w:t>INDEMNIFICATION AND CONTRIBUTION</w:t>
        <w:br/>
        <w:t>4.1 Indemnification.</w:t>
        <w:br/>
        <w:t>4.1.1 The Company agrees to indemnify, to the extent permitted by Applicable Law, each Holder of Registrable Securities, its officers, directors and agents and each person who controls such Holder (within the meaning of the Securities Act) against all losses, claims, damages, liabilities and out-of-pocket expenses (including without limitation reasonable outside attorneys’ fees) resulting from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or affidavit so furnished in writing to the Company by such Holder expressly for use therein or any violation by the Company of the Securities Act or any rule or regulation promulgated thereunder applicable to the Company and relating to action or inaction of the Company in connection therewith.</w:t>
        <w:br/>
        <w:t xml:space="preserve">  18</w:t>
        <w:br/>
        <w:t>4.1.2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(the “Holder Information”) and, to the extent permitted by Applicable Law, shall indemnify the Company, its directors, officers and agents and each person who controls the Company (within the meaning of the Securities Act) against all losses, claims, damages, liabilities and out-of-pocket expenses (including without limitation reasonable outside attorneys’ fees) resulting from any untrue or alleged untrue statement of a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19</w:t>
        <w:br/>
        <w:t>4.1.5 If the indemnification provided under Section 4.1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4.1.1, 4.1.2 and 4.1.3 above, any legal or other fees, charges or out-of-pocket expenses reasonably incurred by such party in connection with any investigation or proceeding. The parties hereto agree that it would not be just and equitable if contribution pursuant to this Section 4.1.5 were determined by pro rata allocation or by any other method of allocation, which does not take account of the equitable considerations referred to in this Section 4.1.5. No person guilty of fraudulent misrepresentation (within the meaning of Section 11(f) of the Securities Act) shall be entitled to contribution pursuant to this Section 4.1.5 from any person who was not guilty of such fraudulent misrepresentation.</w:t>
        <w:br/>
        <w:t>ARTICLE V</w:t>
        <w:br/>
        <w:t>MISCELLANEOUS</w:t>
        <w:br/>
        <w:t>5.1 Notices. All notices and other communications among the parties shall be in writing and shall be deemed to have been duly given (i) when delivered in person, (ii) when delivered by FedEx or other internationally recognized overnight delivery service, in each case with a copy sent by e-mail to such Holder, or (iii) when sent, if sent by electronic mail or facsimile (if provided), during normal business hours of the recipient, and if not sent during normal business hours, then on the recipient’s next Business Day, and in each such case upon confirmation of receipt by the intended recipient or when sent with no undeliverable email or other undeliverable or rejection notice. Any notice or communication under this Agreement must be addressed, if to the Company, to 11F, Building C, No. 225, Section 2, Xxxxx’an E. Rd., SongShan District, Taipei City 105 Taiwan (Attn: Hok-Sum Xxxxxx Xxxx; Xxxxx Xxxxxxxx Xxxxxx), Email: [redacted], with a copy (which will not constitute notice) to Xxxxxxx Xxxxxxx &amp; Xxxxxxxx, 35th Floor, ICBC Tower, 0 Xxxxxx Xxxx, Xxxxxxx, Xxxx Xxxx (Attn: Xx Xxx and Xxxx Xxxx, Email: [redacted] and if to any Holder, at such Holder’s address and e-mail address as set forth in the Company’s books and records. Any party hereto may change the address to which notices, requests, demands, claims and other communications hereunder are to be delivered by giving the Company notice in the manner herein set forth.</w:t>
        <w:br/>
        <w:t xml:space="preserve">  20</w:t>
        <w:br/>
        <w:t>5.2 Assignment; No Third Party Beneficiaries.</w:t>
        <w:br/>
        <w:t>5.2.1 This Agreement and the rights, duties and obligations of the Company hereunder may not be assigned or delegated by the Company in whole or in part.</w:t>
        <w:br/>
        <w:t>5.2.2 This Agreement and the rights, duties and obligations of any Holder hereunder may not be assigned or delegated by such Holder in whole or in part, except that in connection with a transfer of Registrable Securities by such Holder, the transferring Holder may assign all (and no less than all) of its rights, together with all related duties and obligations hereunder, in respect of the Registrable Securities so transferred, to the transferee of such Registrable Securities; provided that (i) such Registrable Securities remain Registrable Securities following such transfer and such Person agrees to become bound by the terms and provisions of this Agreement, (ii) the number of Registrable Securities such transferee holds, as of immediately following such transfer, is equal to at least one percent (1%) of the total number of the then issued and outstanding Company Ordinary Shares, and (iii) such transfer complies in all respects with Applicable Laws.</w:t>
        <w:br/>
        <w:t>5.2.3 No assignment by any party hereto of such party’s rights, duties and obligations hereunder shall be binding upon or obligate the Company unless and until the Company shall have received (i) written notice of such assignment as provided in Section 5.1, and (ii) the written agreement of the assignee, in a form reasonably satisfactory to the Company, to be bound by the terms and provisions of this Agreement (which may be accomplished by an addendum or certificate of joinder to this Agreement).</w:t>
        <w:br/>
        <w:t>5.2.4 Subject to the foregoing, this Agreement shall be binding upon and inure to the benefit of the parties hereto and their respective permitted successors and assigns. Any attempted assignment in violation of the terms of this Section 5.2 shall be null and void, ab initio.</w:t>
        <w:br/>
        <w:t>5.2.5 This Agreement shall not confer any rights or benefits on any persons that are not parties hereto, other than as expressly set forth in this Agreement and Section 5.2.</w:t>
        <w:br/>
        <w:t>5.3 Captions. The captions in this Agreement are for convenience only and shall not be considered a part of or affect the construction or interpretation of any provision of this Agreement.</w:t>
        <w:br/>
        <w:t>5.4 Counterparts. This Agreement may be executed in one or more counterparts, each of which shall be deemed an original, but all of which together shall constitute one and the same instrument. Delivery of an executed counterpart of a signature page to this Agreement by electronic means, including DocuSign, e-mail, or scanned pages shall be effective as delivery of a manually executed counterpart to this Agreement, and such signature shall create a valid and binding obligation of the party executing (or on whose behalf such signature is executed) with the same force and effect as if such signature page were an original thereof.</w:t>
        <w:br/>
        <w:t>5.5 Severability. Whenever possible, each provision of this Agreement will be interpreted in such a manner as to be effective and valid under Applicable Law, but if any term or other provision of this Agreement is held to be invalid, illegal or unenforceable under Applicable Law, all other provisions of this Agreement shall remain in full force and effect so long as the economic or legal substance of the transactions contemplated hereby is not affected in any manner materially adverse to any party. Upon such determination that any term or other provision of this Agreement is invalid, illegal or unenforceable under Applicable Law, the parties hereto shall negotiate in good faith to modify this Agreement so as to effect the original intent of the parties as closely as possible in an acceptable manner in order that the transactions contemplated hereby are consummated as originally contemplated to the greatest extent possible.</w:t>
        <w:br/>
        <w:t xml:space="preserve">  21</w:t>
        <w:br/>
        <w:t>5.6 Governing Law. This Agreement, the rights and duties of the parties hereto, any disputes (whether in contract, tort or statute), and the legal relations between the parties arising hereunder shall be governed by and interpreted and enforced in accordance with the laws of the State of Delaware without reference to its conflicts of law provisions.</w:t>
        <w:br/>
        <w:t>5.7 Jurisdiction. Each party hereto irrevocably and unconditionally submits to the exclusive jurisdiction of the Delaware Court of Chancery, and if the Delaware Court of Chancery does not have or take jurisdiction, any other federal court located in the State of Delaware, for the purposes of any proceeding, claim, demand, action or cause of action (a) arising under this Agreement or (b) in any way connected with or related or incidental to the dealings of the parties hereto in respect of this Agreement or any of the transactions contemplated hereby, and irrevocably and unconditionally waives any objection to the laying of venue of any such proceeding in any such court, and further irrevocably and unconditionally waives and agrees not to plead or claim in any such court that any such proceeding has been brought in an inconvenient forum. Each party hereby irrevocably and unconditionally waives, and agrees not to assert, by way of motion or as a defense, counterclaim or otherwise, in any proceeding claim, demand, action or cause of action against such party (i) arising under this Agreement or (ii) in any way connected with or related or incidental to the dealings of the parties hereto in respect of this Agreement or any of the transactions contemplated hereby, (A) any claim that such party is not personally subject to the jurisdiction of the courts as described in this Section 5.7 for any reason, (B) that such party or such party’s property is exempt or immune from the jurisdiction of any such court or from any legal process commenced in such courts (whether through service of notice, attachment prior to judgment, attachment in aid of execution of judgment, execution of judgment or otherwise) and (C) that (x) the proceeding, claim, demand, action or cause of action in any such court is brought against such party in an inconvenient forum, (y) the venue of such proceeding, claim, demand, action or cause of action against such party is improper or (z) this Agreement, or the subject matter hereof, may not be enforced against such party in or by such courts. Each party agrees that service of any process, summons, notice or document by registered mail to such party’s respective address in accordance with Section 5.1 shall be effective service of process for any such proceeding, claim, demand, action or cause of action. Nothing in this Agreement will affect the right of any party herein to serve process in any other manner permitted by Applicable Law.</w:t>
        <w:br/>
        <w:t>5.8 Remedies. The parties hereto agree that irreparable damage for which monetary damages, even if available, would not be an adequate remedy, would occur in the event that the parties hereto do not perform their obligations under the provisions of this Agreement in accordance with its specified terms or otherwise breach such provisions. The parties hereto acknowledge and agree that (i) such parties shall be entitled to an injunction, specific performance, or other equitable relief, to prevent breaches of this Agreement and to enforce specifically the terms and provisions hereof and thereof, without proof of damages and without posting a bond, prior to the valid termination of this Agreement, this being in addition to any other remedy to which they are entitled under this Agreement, and (ii) the right of specific enforcement is an integral part of the transactions contemplated hereby and without that right, none of the parties hereto would have entered into this Agreement. Each party agrees that it will not oppose the granting of specific performance and other equitable relief on the basis that the other parties hereto have an adequate remedy at law or that an award of specific performance is not an appropriate remedy for any reason at law or equity. The parties acknowledge and agree that any party seeking an injunction to prevent breaches of this Agreement and to enforce specifically the terms and provisions of this Agreement in accordance with this Section 5.8 shall not be required to provide any bond or other security in connection with any such injunction.</w:t>
        <w:br/>
        <w:t xml:space="preserve">  22</w:t>
        <w:br/>
        <w:t>5.9 WAIVER OF JURY TRIAL. EACH OF THE PARTIES HERETO HEREBY IRREVOCABLY WAIVES, TO THE FULLEST EXTENT PERMITTED BY APPLICABLE LAW, ANY RIGHT TO TRIAL BY JURY OF ANY CLAIM, DEMAND, ACTION OR CAUSE OF ACTION (A) ARISING UNDER THIS AGREEMENT, OR (B) IN ANY WAY CONNECTED WITH OR RELATED OR INCIDENTAL TO THE DEALINGS OF THE PARTIES HERETO IN RESPECT OF THIS AGREEMENT OR ANY OF THE TRANSACTIONS RELATED HERETO, IN EACH CASE WHETHER NOW EXISTING OR HEREAFTER ARISING, AND WHETHER IN CONTRACT, TORT, EQUITY OR OTHERWISE. EACH OF THE PARTIES TO THIS AGREEMENT XXXXXX AGREES AND CONSENTS THAT ANY SUCH CLAIM, DEMAND, ACTION OR CAUSE OF ACTION WILL BE DECIDED BY COURT TRIAL WITHOUT A JURY, AND THAT THE PARTIES TO THIS AGREEMENT MAY FILE A COPY OF THIS AGREEMENT WITH ANY COURT AS WRITTEN EVIDENCE OF THE CONSENT OF THE PARTIES HERETO TO THE WAIVER OF THEIR RIGHT TO TRIAL BY JURY.</w:t>
        <w:br/>
        <w:t>5.10 Amendments and Modifications. Upon the written consent of (a) the Company and (b) the Holders holding a majority of the voting power of the then-outstanding Registrable Securities then held by all Holders in the aggregate, compliance with any of the provisions, covenants and conditions set forth in this Agreement may be waived, or any of such provisions, covenants or conditions may be amended or modified; provided, however, that in the event any such waiver, amendment or modification would be disproportionate and adverse in any material respect to the material rights or obligations hereunder of a Holder, the written consent of such Holder will also be required.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5.11 Term. This Agreement shall be effective from and after the Closing Date and shall terminate with respect to any Holder on the date that such Holder no longer holds any Registrable Securities. The provisions of Section 3.5, Article IV and this Article V shall survive any termination.</w:t>
        <w:br/>
        <w:t>5.12 Holder Information. Each Holder agrees, if requested in writing, to represent to the Company or such other requesting Holder the total number of Registrable Securities held by such Holder in order for the Company or a requesting Holder to make determinations hereunder.</w:t>
        <w:br/>
        <w:t>[SIGNATURE PAGES FOLLOW]</w:t>
        <w:br/>
        <w:t xml:space="preserve">  23</w:t>
        <w:br/>
        <w:t>IN WITNESS WHEREOF, the undersigned have caused this Agreement to be executed as of the date first written above.</w:t>
        <w:br/>
        <w:t xml:space="preserve">  COMPANY:</w:t>
        <w:br/>
        <w:t>GOGORO INC.</w:t>
        <w:br/>
        <w:t xml:space="preserve">By:    </w:t>
        <w:br/>
        <w:t xml:space="preserve">  Name:</w:t>
        <w:br/>
        <w:t xml:space="preserve">  Title:</w:t>
        <w:br/>
        <w:t>HOLDER:</w:t>
        <w:br/>
        <w:t>CASTROL HOLDINGS INTERNATIONAL LIMITED</w:t>
        <w:br/>
        <w:t xml:space="preserve">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