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br/>
        <w:t>EXECUTION VERSION</w:t>
        <w:br/>
        <w:br/>
        <w:t>AMENDED AND RESTATED REGISTRATION RIGHTS AGREEMENT</w:t>
        <w:br/>
        <w:br/>
        <w:t>This AMENDED AND RESTATED REGISTRATION RIGHTS AGREEMENT, dated as of November 6, 2024 (this “Agreement”), is made and entered into by and among DevvStream Corp. (formerly known as Focus Impact Acquisition Corp.), a company existing under the laws of the Province of Alberta (the “Company”), Focus Impact Sponsor, LLC, a Delaware limited liability company (the “Sponsor”), and the undersigned parties listed under Legacy Devvstream Holders on the signature page hereto (each a “Legacy Devvstream Holder” and, collectively, the “Legacy Devvstream Holders” and, together with Sponsor and any person or entity who hereafter becomes a party to this Agreement pursuant to Section 6(e) of this Agreement, each a “Holder” and collectively the “Holders”).</w:t>
        <w:br/>
        <w:br/>
        <w:t>RECITALS</w:t>
        <w:br/>
        <w:br/>
        <w:t>WHEREAS, the Company, Focus Impact Amalco Sub Inc., a company existing under the Laws of the Province of British Columbia and a wholly-owned subsidiary of the Company (“Amalco Sub”), and DevvStream Holdings Inc., a company existing under the laws of the Province of British Columbia (“Legacy Devvstream”), are party to that certain Business Combination Agreement, dated as of September 12, 2023, as amended by Amendment No. 1 to Business Combination Agreement, dated as of May 1, 2024, and as further amended by Amendment No. 2 to Business Combination Agreement, dated as of August 10, 2024 (as amended, the “Business Combination Agreement”), pursuant to which, on the date hereof, Legacy Devvstream and the Company combined (as further described in the Business Combination Agreement, the “Business Combination”) by way of an arrangement on the terms and subject to the conditions set forth in a plan of arrangement under Section 288 of the Business Corporations Act (British Columbia), pursuant to which, among other things, Amalco Sub and Legacy Devvstream amalgamated to form one corporate entity;</w:t>
        <w:br/>
        <w:br/>
        <w:t>WHEREAS, pursuant to the Business Combination Agreement and in connection with the consummation of the Business Combination, the Legacy Devvstream Holders received shares of Common Stock (as defined herein) (the “Business Combination Shares”);</w:t>
        <w:br/>
        <w:br/>
        <w:t>WHEREAS, immediately following the consummation of the Business Combination, the Sponsor held an aggregate of 5,015,610 shares of Common Stock (as defined herein) (the “Sponsor Shares”) and 11,200,000 private placement warrants to purchase shares of Common Stock at an exercise price of $11.50 per share (the “Sponsor Warrants”);</w:t>
        <w:br/>
        <w:br/>
        <w:t>WHEREAS, the Company and the Sponsor are parties to that certain Registration and Stockholder Rights Agreement, dated as of November 1, 2021 (the “Prior Agreement”);</w:t>
        <w:br/>
        <w:br/>
        <w:t>WHEREAS, pursuant to Section 6.8 of the Prior Agreement, the provisions, covenants and conditions set forth in the Prior Agreement may be amended or modified upon the written consent of the Company and the holders of at least a majority in interest of the registrable securities under the Prior Agreement at the time in question and the Sponsor is the holder of at least a majority in interest of such registrable securities as of the date hereof; and</w:t>
        <w:br/>
        <w:br/>
        <w:t>WHEREAS, in connection with the consummation of the Business Combination, the parties to the Prior Agreement desire to amend and restate the Prior Agreement in its entirety as set forth herein, and the parties hereto desire to enter into this Agreement pursuant to which the Company shall grant the Holders certain registration rights with respect to the Registrable Securities (as defined below) on the terms and conditions set forth in this Agreement.</w:t>
        <w:br/>
        <w:br/>
        <w:t>NOW, THEREFORE, in consideration of the premises and the mutual premises and covenants contained in this Agreement, and for other good and valuable consideration, the receipt and sufficiency of which are hereby acknowledged,</w:t>
        <w:br/>
        <w:br/>
        <w:t>IT IS AGREED as follows:</w:t>
        <w:br/>
        <w:br/>
        <w:t>1.            DEFINITIONS</w:t>
        <w:br/>
        <w:br/>
        <w:t>As used in this Agreement, the following terms shall have the following meanings:</w:t>
        <w:br/>
        <w:br/>
        <w:t>“Affiliate” of any specified Person shall mean any other Person directly or indirectly controlling or controlled by, or under common control with, such specified Person. The term “control” (including the terms “controlling,” “controlled by” and “under common control with”) means the possession, directly or indirectly, of the power to direct or cause the direction of the management and policies of a Person, whether through the ownership of voting securities, by contract or otherwise.</w:t>
        <w:br/>
        <w:br/>
        <w:t>“Agreement” shall have the meaning set forth in the Preamble hereof.</w:t>
        <w:br/>
        <w:br/>
        <w:t>“Amalco Sub” shall have the meaning set forth in the Preamble hereof.</w:t>
        <w:br/>
        <w:br/>
        <w:t>“Blackout Period” shall have the meaning set forth in Section 2(e)(ii).</w:t>
        <w:br/>
        <w:br/>
        <w:t>“Block Trade” shall mean an offering and/or sale of Registrable Securities by any Holder on a block trade or underwritten basis (whether firm commitment or otherwise) without substantial marketing efforts prior to pricing, including, without limitation, a same day trade, overnight trade or similar transaction and without a lock-up agreement of more than forty-five (45) days to which the Company is a party (including, for the avoidance of doubt, any lock-up or clear market covenant contained in the underwriting agreement for such transaction).</w:t>
        <w:br/>
        <w:br/>
        <w:t>“Board” shall mean the Board of Directors of the Company.</w:t>
        <w:br/>
        <w:br/>
        <w:t>“Business Combination” shall have the meaning set forth in the Recitals hereof.</w:t>
        <w:br/>
        <w:br/>
        <w:t>“Business Combination Agreement” shall have the meaning set forth in the Recitals hereof.</w:t>
        <w:br/>
        <w:br/>
        <w:t>“Business Combination Shares” shall have the meaning set forth in the Recitals hereof.</w:t>
        <w:br/>
        <w:br/>
        <w:t>“Business Day” shall mean any day except Saturday, Sunday or any days on which banks are generally not open for business in New York, New York and the Provinces of Ontario and Alberta, Canada.</w:t>
        <w:br/>
        <w:br/>
        <w:t>“Commission” shall mean the Securities and Exchange Commission.</w:t>
        <w:br/>
        <w:br/>
        <w:t>“Common Stock” shall mean the Company’s common shares, par value $0.0001 per share.</w:t>
        <w:br/>
        <w:br/>
        <w:t>“Company” shall have the meaning set forth in the Preamble hereof.</w:t>
        <w:br/>
        <w:br/>
        <w:t>“Demanding Holder” shall have the meaning set forth in Section 2(a)(iv).</w:t>
        <w:br/>
        <w:br/>
        <w:t>“Exchange Act” shall mean the Securities Exchange Act of 1934, as amended (or any corresponding provision of succeeding law) and the rules and regulations thereunder.</w:t>
        <w:br/>
        <w:br/>
        <w:t>“FINRA” shall mean the Financial Industry Regulatory Authority.</w:t>
        <w:br/>
        <w:br/>
        <w:t>“Holder” shall have the meaning set forth in the Preamble hereof.</w:t>
        <w:br/>
        <w:br/>
        <w:t>“In-Kind Distribution” shall have the meaning set forth in Section 6(e).</w:t>
        <w:br/>
        <w:br/>
        <w:t>“Legacy Devvstream” shall have the meaning set forth in the Recitals hereof.</w:t>
        <w:br/>
        <w:br/>
        <w:t>“Legacy Devvstream Holders” shall have the meaning set forth in the Preamble hereof.</w:t>
        <w:br/>
        <w:br/>
        <w:t>“Legal Dispute” shall have the meaning set forth in Section 6(j).</w:t>
        <w:br/>
        <w:br/>
        <w:t>“Liabilities” shall have the meaning set forth in Section 4(a)(i).</w:t>
        <w:br/>
        <w:br/>
        <w:t>“Maximum Threshold” shall have the meaning set forth in Section 2(a)(v).</w:t>
        <w:br/>
        <w:br/>
        <w:t>“Minimum Takedown Threshold” shall have the meaning set forth in Section 2(a)(iv).</w:t>
        <w:br/>
        <w:br/>
        <w:t>“Misstatement” means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br/>
        <w:br/>
        <w:t>“New Registration Statement” shall have the meaning set forth in Section 2(a)(i).</w:t>
        <w:br/>
        <w:br/>
        <w:t>“Non-Holder Securities” shall have the meaning set forth in Section 2(a)(v).</w:t>
        <w:br/>
        <w:br/>
        <w:t>2</w:t>
        <w:br/>
        <w:t>“Other Coordinated Offering” shall have the meaning set forth in Section 2(c)(i).</w:t>
        <w:br/>
        <w:br/>
        <w:t>“Person” shall mean any individual, partnership, joint venture, corporation, trust, limited liability company, unincorporated organization or other entity or any governmental entity.</w:t>
        <w:br/>
        <w:br/>
        <w:t>“Piggyback Registration” shall have the meaning set forth in Section 2(b)(i).</w:t>
        <w:br/>
        <w:br/>
        <w:t>“Prior Agreement” shall have the meaning set forth in the Recitals hereof.</w:t>
        <w:br/>
        <w:br/>
        <w:t>“Prospectus” means the prospectus or prospectuses included in any Registration Statement (including without limitation, any prospectus subject to completion and a prospectus that includes any information previously omitted from a prospectus filed as part of an effective registration statement in reliance upon Rule 430A promulgated under the Securities Act and any term sheet filed pursuant to Rule 434 under the Securities Act), as amended or supplemented by any prospectus supplement with respect to the terms of the offering of any portion of Registrable Securities covered by such Registration Statement and by all other amendments and supplements to the prospectus, including post-effective amendments and all material incorporated by reference or deemed to be incorporated by reference in such prospectus or prospectuses.</w:t>
        <w:br/>
        <w:br/>
        <w:t>“Registrable Securities” shall mean (a) the Sponsor Shares, (b) the Sponsor Warrants (including any shares of Common Stock issued or issuable upon the exercise of the Sponsor Warrants), (c) any outstanding shares of Common Stock or Warrants held by a Holder immediately following the consummation of the Business Combination (including the Common Stock constituting a portion of the Business Combination Shares), (d) any shares of Common Stock that may be acquired by Holders upon the exercise of a Warrant or other right to acquire Common Stock held by a Holder as of the date of this Agreement, (e) any shares of Common Stock or Warrants otherwise acquired or owned by a Holder following the date hereof to the extent that such securities are “restricted securities” (as defined in Rule 144) or are otherwise held by an “affiliate” (as defined in Rule 144) of the Company, and (f) any other equity security of the Company or any of its subsidiaries issued or issuable with respect to any securities referenced in clauses (a) through (e) above by way of a stock dividend or stock split or in connection with a recapitalization, merger, consolidation, spin-off, reorganization or similar transaction; provided, however, that such Registrable Securities shall cease to be Registrable Securities with respect to any Holder upon the earliest to occur of (x) when such Registrable Securities shall have been sold, transferred, disposed of or exchanged by such Holder in a transaction effected in accordance with, or exempt from, the registration requirements of the Securities Act, and (y) the date on which such securities shall have ceased to be outstanding.</w:t>
        <w:br/>
        <w:br/>
        <w:t>“Registration” shall mean a registration, including any related Underwritten Shelf Takedown, effected by preparing and filing a Registration Statement, Prospectus or similar document in compliance with the requirements of the Securities Act, and the applicable rules and regulations promulgated thereunder, and such registration statement becoming effective.</w:t>
        <w:br/>
        <w:br/>
        <w:t>“Registration Statement” means any registration statement of the Company filed with the Commission under the Securities Act which covers any Registrable Securities pursuant to the provisions of this Agreement, including the Prospectus, amendments and supplements to such Registration Statement, including post-effective amendments, all exhibits and all materials incorporated by reference or deemed to be incorporated by reference in such Registration Statement.</w:t>
        <w:br/>
        <w:br/>
        <w:t>“Sale Expenses” shall mean (a) the fees and disbursements of counsel and independent public accountants for the Company incurred in connection with the Company’s performance of or compliance with this Agreement, including the expenses of any special audits or “comfort” letters required by or incident to such performance and compliance, and any premiums and other costs of policies of insurance obtained by the Company against Liabilities arising out of the sale of any securities, (b) all registration, filing and stock exchange fees, all fees and expenses of complying with securities or “blue sky” laws (including any legal investment memoranda related thereto), all fees and expenses of custodians, transfer agents and registrars, all printing and producing expenses, messenger and delivery expenses, (c) expenses relating to any analyst or Holder presentations or any “road shows” undertaken in connection with the marketing or selling of Registrable Securities, (d) fees and expenses in connection with any review by FINRA of the underwriting arrangements or other terms of the offering, and all fees and expenses of any “qualified independent underwriter,” (e) costs of any selling agreements and other documents in connection with the offering, sale or delivery of Registrable Securities, (f) the reasonable fees and disbursements of one legal counsel for all Holders participating in any Underwritten Offering, (g) any reasonable fees and disbursements of underwriters customarily paid by issuers or sellers of securities and (h) all of the Company’s internal expenses (including all salaries and expenses of its officers and employees performing legal or accounting duties); provided, however, that “Sale Expenses” shall not include any out-of-pocket expenses of any Holder (other than as set forth in clauses (b) and (f) above), transfer taxes, underwriting or brokerage commissions or discounts associated with effecting any sales of Registrable Securities that may be offered, which expenses shall be borne by such Holder.</w:t>
        <w:br/>
        <w:br/>
        <w:t>3</w:t>
        <w:br/>
        <w:t>“SEC Guidance” shall have the meaning set forth in Section 2(a)(i).</w:t>
        <w:br/>
        <w:br/>
        <w:t>“Securities Act” Securities Act of 1933, as amended.</w:t>
        <w:br/>
        <w:br/>
        <w:t>“Shelf Registration Statement” shall have the meaning set forth in Section 2(a)(i).</w:t>
        <w:br/>
        <w:br/>
        <w:t>“Shelf Takedown Limit” shall have the meaning set forth in Section 2(a)(iv).</w:t>
        <w:br/>
        <w:br/>
        <w:t>“Sponsor” shall have the meaning set forth in the Preamble hereof.</w:t>
        <w:br/>
        <w:br/>
        <w:t>“Sponsor Shares” shall have the meaning set forth in the Recitals hereof.</w:t>
        <w:br/>
        <w:br/>
        <w:t>“Sponsor Warrants” shall have the meaning set forth in the Recitals hereof.</w:t>
        <w:br/>
        <w:br/>
        <w:t>“Subsequent Shelf Registration” shall have the meaning set forth in Section 2(a)(ii).</w:t>
        <w:br/>
        <w:br/>
        <w:t>“Suspension Period” shall have the meaning set forth in Section 2(e)(i).</w:t>
        <w:br/>
        <w:br/>
        <w:t>“Underwritten Offering” shall mean a sale of securities of the Company to an underwriter or underwriters for reoffering to the public.</w:t>
        <w:br/>
        <w:br/>
        <w:t>“Underwritten Shelf Takedown” shall have the meaning set forth in Section 2(a)(iv).</w:t>
        <w:br/>
        <w:br/>
        <w:t>“Warrants” shall mean warrants of the Company that entitle the holder to Common Stock (including, for the avoidance of doubt, the Sponsor Warrants).</w:t>
        <w:br/>
        <w:br/>
        <w:t>“Withdrawal Notice” shall have the meaning set forth in Section 2(a)(vi).</w:t>
        <w:br/>
        <w:br/>
        <w:t>2.            REGISTERED OFFERINGS</w:t>
        <w:br/>
        <w:br/>
        <w:t>(a)     Registration Rights.</w:t>
        <w:br/>
        <w:br/>
        <w:t>(i)  Shelf Registration. Subject to Section 3(c), the Company agrees to file within sixty (60) days after the date of this Agreement, a shelf Registration Statement on Form S-1, or such other form under the Securities Act then available to the Company, providing for the resale of all Registrable Securities (determined as of two (2) business days prior to such filing) pursuant to Rule 415, from time to time (a “Shelf Registration Statement”). The Company shall use commercially reasonable efforts to cause such Shelf Registration Statement to be declared effective by the Commission as soon as practicable after the filing thereof. The Shelf Registration Statement shall provide for the resale from time to time, and pursuant to any method or combination of methods legally available (including, without limitation, an Underwritten Offering, a direct sale to purchasers or a sale through brokers or agents) to the Holders of any and all Registrable Securities. Following the filing of the Shelf Registration Statement, the Company shall use its commercially reasonable efforts to convert the Shelf Registration Statement on Form S-1 (and any Subsequent Shelf Registration) to a Registration Statement on Form S-3 as soon as practicable after the Company is eligible to use Form S-3. Notwithstanding the registration obligations set forth in this Section 2(a)(i), in the event the Commission informs the Company that all of the Registrable Securities cannot, as a result of the application of Rule 415, be registered for resale as a secondary offering on a single registration statement, the Company agrees to promptly (A) inform each of the Holders and use its commercially reasonable efforts to file amendments to the Shelf Registration Statement as required by the Commission and/or (B) withdraw the Shelf Registration Statement and file a new registration statement (a “New Registration Statement”), in either case covering the maximum number of Registrable Securities permitted to be registered by the Commission, on Form S-1 or Form S-3 or such other form available to register for resale the Registrable Securities as a secondary offering; provided, however, that prior to filing such amendment or New Registration Statement, the Company shall be obligated to use its commercially reasonable efforts to advocate with the Commission for the registration of all of the Registrable Securities in accordance with any publicly-available written or oral guidance, comments, requirements or requests of the Commission staff (the “SEC Guidance”), including, without limitation, relevant Compliance and Disclosure Interpretations. Notwithstanding any other provision of this Agreement, if any SEC Guidance sets forth a limitation of the number of Registrable Securities permitted to be registered on a particular Registration Statement as a secondary offering (and notwithstanding that the Company used diligent efforts to advocate with the Commission for the registration of all or a greater number of Registrable Securities), unless otherwise directed in writing by a Holder as to its Registrable Securities, the number of Registrable Securities to be registered on such Registration Statement will be reduced pro rata, based on the number of Registrable Securities held by each Holder, subject to a determination by the Commission that certain Holders must be reduced first based on the number of Registrable Securities held by such Holders. In the event the Company amends the Shelf Registration Statement or files a New Registration Statement, as the case may be, under clauses (A) or (B) above, the Company will use its commercially reasonable efforts to file with the Commission, as promptly as allowed by Commission or SEC Guidance provided to the Company or to registrants of securities in general, one or more registration statements on Form S-1 or Form S-3 or such other form available to register for resale those Registrable Securities that were not registered for resale on the Shelf Registration Statement, as amended, or the New Registration Statement.</w:t>
        <w:br/>
        <w:br/>
        <w:t>4</w:t>
        <w:br/>
        <w:t>(ii)  Subsequent Shelf Registration. If any Shelf Registration Statement ceases to be effective under the Securities Act for any reason at any time while Registrable Securities are still outstanding, the Company shall, subject to Section 2(e), use its commercially reasonable efforts to as promptly as is reasonably practicable cause such Shelf Registration Statement to again become effective under the Securities Act (including obtaining the prompt withdrawal of any order suspending the effectiveness of such Shelf Registration Statement), and shall use its commercially reasonable efforts to as promptly as is reasonably practicable amend such Shelf Registration Statement in a manner reasonably expected to result in the withdrawal of any order suspending the effectiveness of such Shelf Registration Statement or file an additional registration statement as a Shelf Registration Statement (a “Subsequent Shelf Registration”) registering the resale of all Registrable Securities (determined as of two business days prior to such filing), and pursuant to any method or combination of methods legally available to, and requested by, any Holder named therein. If a Subsequent Shelf Registration is filed, the Company shall use its commercially reasonable efforts to (i) cause such Subsequent Shelf Registration to become effective under the Securities Act as promptly as is reasonably practicable after the filing thereof (it being agreed that the Subsequent Shelf Registration shall be an automatic shelf registration statement (as defined in Rule 405 promulgated under the Securities Act) if the Company is a well-known seasoned issuer (as defined in Rule 405 promulgated under the Securities Act) at the most recent applicable eligibility determination date) and (ii) keep such Subsequent Shelf Registration continuously effective, available for use and in compliance with the provisions of the Securities Act until such time as there are no longer any Registrable Securities. Any such Subsequent Shelf Registration shall be on Form S-3 to the extent that the Company is eligible to use such form. Otherwise, such Subsequent Shelf Registration shall be on another appropriate form.</w:t>
        <w:br/>
        <w:br/>
        <w:t>(iii) Additional Registrable Securities. In the event that any Holder holds Registrable Securities that are not registered for resale on a delayed or continuous basis, the Company, upon request of a Holder that holds at least five percent (5.0%) of the Registrable Securities, shall promptly use its commercially reasonable efforts to cause the resale of such Registrable Securities to be covered by either, at the Company’s option, the Shelf Registration Statement (including by means of a post-effective amendment) or a Subsequent Shelf Registration and cause the same to become effective as soon as practicable after such filing and such Shelf Registration Statement or Subsequent Shelf Registration shall be subject to the terms hereof; provided, however, that the Company shall only be required to cause such Registrable Securities to be so covered twice per calendar year.</w:t>
        <w:br/>
        <w:br/>
        <w:t>(iv)  Requests for Underwritten Shelf Takedowns. At any time and from time to time when an effective Shelf Registration Statement is on file with the Commission, any one or more Holders (any of the Holders being, in such case, a “Demanding Holder”) may request to sell all or any portion of its Registrable Securities in an Underwritten Offering that is registered pursuant to the Shelf Registration Statement (each, an “Underwritten Shelf Takedown”); provided in each case that the Company shall only be obligated to effect an Underwritten Offering if such offering shall include Registrable Securities proposed to be sold by the Demanding Holder(s) with a total offering price reasonably expected to exceed, in the aggregate, $10.0 million (the “Minimum Takedown Threshold”). All requests for Underwritten Shelf Takedowns shall be made by giving written notice to the Company, which shall specify the approximate number of Registrable Securities proposed to be sold in the Underwritten Shelf Takedown. Promptly (but in any event within five (5) days) after receipt of a request for Underwritten Shelf Takedown, the Company shall give written notice of the Underwritten Shelf Takedown to all other Holders. The Company shall have the right to select the underwriters for such offering (which shall consist of one or more reputable nationally recognized investment banks), subject to the initial Demanding Holder’s prior approval (which shall not be unreasonably withheld, conditioned or delayed). The Holders may collectively demand no more than two (2) Underwritten Shelf Takedowns pursuant to this Section 2(a)(iv) in any 12-month period (the “Shelf Takedown Limit”). Notwithstanding anything to the contrary in this Agreement, the Company may effect any Underwritten Shelf Takedown pursuant to any then effective Registration Statement, including a Form S-3, that is then available for such offering.</w:t>
        <w:br/>
        <w:br/>
        <w:t>5</w:t>
        <w:br/>
        <w:t>(v)  Reduction of Underwritten Shelf Takedown. If, in connection with an Underwritten Offering that is effectuated for the account of stockholders of the Company, including pursuant to Section 2(a)(iv), in which Registrable Securities are included, the managing underwriters of such Underwritten Offering advise the Company in writing that, in their opinion and in consultation with the Company, the number of Registrable Securities requested to be included in such Underwritten Offering exceeds the number that can be sold in such Underwritten Offering and/or that the number of Registrable Securities proposed to be included in any such Underwritten Offering would adversely affect the price per share of the Company’s equity securities to be sold in such Underwritten Offering (such maximum number of securities or Registrable Securities, as applicable, the “Maximum Threshold”), then the number of Registrable Securities to be included in such Underwritten Offering shall be allocated among the Holders and holders of Non-Holder Securities as follows: (A) first, the securities comprised of Registrable Securities, pro rata, based on the amount of such Registrable Securities initially requested to be included by the Holders (pursuant to either Section 2(a)(iv) or 2(b)(i)) or as such Holders may otherwise agree, that can be sold without exceeding the Maximum Threshold; (B) second, to the extent that the Maximum Threshold has not been reached under the foregoing clause (A), the equity securities of a holder of the Company’s securities other than Registrable Securities (“Non-Holder Securities”) that either (1) the Company is obligated to include pursuant to written contractual rights entered into prior to or on the date hereof or (2) such other contractual rights governing the applicable Non-Holder Securities, pro rata, based on the amount of such equity securities initially requested to be included by the holders of Non-Holder Securities or as such holders of Non-Holder Securities may otherwise agree, that can be sold without exceeding the Maximum Threshold; (C) third, to the extent that the Maximum Threshold has not been reached under the foregoing clauses (A) and (B), Non-Holder Securities that the Company is obligated to include pursuant to written contractual rights entered into after the date hereof that do not comply with clause (B)(2) above, that can be sold without exceeding the Maximum Threshold; and (D) fourth, to the extent that the Maximum Threshold has not been reached under the foregoing clauses (A), (B) and (C), the shares of Common Stock or other securities that the Company desires to sell that can be sold without exceeding the Maximum Threshold.  Notwithstanding this Section 2(a)(v), the Sponsor shall be entitled to initiate one Underwritten Shelf Takedown pursuant to which it shall be entitled to sell all Registrable Securities it requests to be included in such offering, prior to the application of the reduction principles set forth in clauses (A) through (D) above; provided, however, that the number of Registrable Securities so requested by the Sponsor shall not exceed the Maximum Threshold.</w:t>
        <w:br/>
        <w:br/>
        <w:t>(vi) Withdrawal. Prior to the filing of the applicable “red xxxxxxx” prospectus or prospectus supplement used for marketing such Underwritten Shelf Takedown, a majority-in-interest of the Demanding Holders initiating an Underwritten Shelf Takedown shall have the right to withdraw from such Underwritten Shelf Takedown for any or no reason whatsoever upon written notification (a “Withdrawal Notice”) to the Company and the underwriter or underwriters (if any) of their intention to withdraw from such Underwritten Shelf Takedown; provided that any Holder may elect to have the Company continue an Underwritten Shelf Takedown if the Minimum Takedown Threshold would still be satisfied by the Registrable Securities proposed to be sold in the Underwritten Shelf Takedown by the Holders. If withdrawn, a demand for an Underwritten Shelf Takedown shall constitute a demand for an Underwritten Shelf Takedown for purposes of Section 2(a)(iv), unless the Holder reimburses the Company for all Sale Expenses with respect to such Underwritten Shelf Takedown; provided that, if a Holder elects to continue an Underwritten Shelf Takedown pursuant to the proviso in the immediately preceding sentence, such Underwritten Shelf Takedown shall instead count as an Underwritten Shelf Takedown demanded by the Holders for purposes of Section 2(a)(iv). Following the receipt of any Withdrawal Notice, the Company shall promptly forward such Withdrawal Notice to any other Holders that had elected to participate in such Underwritten Shelf Takedown. Notwithstanding anything to the contrary in this Agreement, the Company shall be responsible for the Sale Expenses incurred in connection with a Underwritten Shelf Takedown prior to its withdrawal under this Section 2(a)(vi), other than if a Demanding Holder elects to pay such Sale Expenses pursuant to the second sentence of this Section 2(a)(vi).</w:t>
        <w:br/>
        <w:br/>
        <w:t>6</w:t>
        <w:br/>
        <w:t>(b)    Piggyback Rights.</w:t>
        <w:br/>
        <w:br/>
        <w:t>(i)  Right to Piggyback. If the Company or any Holder proposes to conduct a registered offering of, or if the Company proposes to file a Registration Statement under the Securities Act with respect to the Registration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an Underwritten Shelf Takedown pursuant to Section 2(a)(iv)), other than a Registration Statement (or any registered offering with respect thereto) (i) filed in connection with any employee stock option or other benefit plan, (ii) pursuant to a Registration Statement on Form S-4 (or similar form that relates to a transaction subject to Rule 145 under the Securities Act or any successor rule thereto), (iii) for an offering of debt that is convertible into equity securities of the Company, (iv) for a dividend reinvestment plan or (v) for a rights offering, then the Company shall give written notice of such proposed offering to all of the Holders of Registrable Securities as soon as practicable but not less than ten (10) days before the anticipated filing date of such Registration Statement or, in the case of an Underwritten Offering pursuant to a Shelf Registration Statement, the applicable “red xxxxxxx”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include in such registered offering such number of Registrable Securities as such Holders may request in writing within five (5) days after receipt of such written notice (such Registration, a “Piggyback Registration”). Subject to Section 2(b)(ii), the Company shall cause all such Registrable Securities to be included in such Piggyback Registration and, if applicable, shall use its commercially reasonable efforts to cause the managing underwriter or underwriters of such Piggyback Registration to permit the Registrable Securities requested by the Holders pursuant to this Section 2(b)(i) to be included therein on the same terms and conditions as any similar securities of the Company included in such Registration and to permit the sale or other disposition of such Registrable Securities in accordance with the intended method(s) of distribution thereof. The inclusion of any Holder’s Registrable Securities in a Piggyback Registration shall be subject to such Holder’s agreement to enter into an underwriting agreement in customary form with the underwriter(s) selected for such Underwritten Offering by the Company.</w:t>
        <w:br/>
        <w:br/>
        <w:t>(ii)  Reduction of Offering. If the managing underwriter or underwriters in an Underwritten Offering that is to be a Piggyback Registration advises the Company and the Holders of Registrable Securities participating in the Piggyback Registration in writing that the dollar amount or number of shares of Common Stock or other equity securities that the Company desires to sell, taken together with (i) the Non-Holder Securities as to which Registration or a registered offering has been demanded pursuant to separate written contractual arrangements (including any other applicable contractual piggy-back registration rights) and (ii) the Registrable Securities as to which registration has been requested pursuant to Section 2(b)  exceeds the Maximum Threshold, then:</w:t>
        <w:br/>
        <w:br/>
        <w:t>(A)       If the Registration or registered offering is initiated by the Company primarily for its own account, the number of shares of Common Stock to be included in such Underwritten Offering shall be allocated as follows: (A) first, the shares of Common Stock or other securities to be sold by the Company; (B) second, to the extent that the Maximum Threshold has not been reached under the foregoing clause (A), the Registrable Securities of Holders exercising their rights to register their Registrable Securities hereunder pro rata, based on the number of shares of such Common Stock initially requested to be included by the Holders that can be sold without exceeding the Maximum Threshold; and (C) third, to the extent that the Maximum Threshold has not been reached under the foregoing clauses (A) and (B), Non-Holder Securities that the Company is obligated to include pursuant to separate written contractual rights that can be sold without exceeding the Maximum Threshold;</w:t>
        <w:br/>
        <w:br/>
        <w:t>(B)     If the Registration or registered offering is initiated for the account of stockholders of the Company other than the Holders of Registrable Securities, the number of shares of Common Stock to be included in such Underwritten Offering shall be allocated as follows: (A) first, the Non-Holder Securities that the Company is obligated to include pursuant to written contractual rights that provide that such securities must be included on a pari passu basis to the Registrable Securities, and any Registrable Securities requested to be included, pro rata, based on the amount of such securities initially requested to be included or as such holders of Non-Holder Securities and Registrable Securities may otherwise agree, that can be sold without exceeding the Maximum Threshold; (B) second, to the extent that the Maximum Threshold has not been reached under the foregoing clause (A), Non-Holder Securities that the Company is obligated to include pursuant to written contractual rights entered into after the date hereof that do not comply with clause (A) above, that can be sold without exceeding the Maximum Threshold; and (C) third, to the extent that the Maximum Threshold has not been reached under the foregoing clauses (A) and (B), the shares of Common Stock or other securities that the Company desires to sell that can be sold without exceeding the Maximum Threshold; and</w:t>
        <w:br/>
        <w:br/>
        <w:t>7</w:t>
        <w:br/>
        <w:t>(C)       If the Registration or registered offering is pursuant to a request by Xxxxxx(s) of Registrable Securities pursuant to Section 2(a)(iv), then the Company shall include in any such Registration or registered offering securities pursuant to Section 2(a)(v).</w:t>
        <w:br/>
        <w:br/>
        <w:t>(iii) Withdrawal. Any Holder of Registrable Securities (other than a Demanding Holder, whose right to withdrawal from an Underwritten Shelf Takedown, and related obligations, shall be governed by Section 2(a)(vi))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Statement, the filing of the applicable “red xxxxxxx” prospectus or prospectus supplement with respect to such Piggyback Registration used for marketing such transaction. The Company (whether on its own determination or as the result of a request for withdrawal by persons pursuant to separate written contractual obligations) may withdraw a Registration Statement filed with the Commission in connection with a Piggyback Registration (which, in no circumstance, shall include the Shelf Registration Statement) at any time prior to the effectiveness of such Registration Statement. Notwithstanding anything to the contrary in this Agreement (other than Section 2(a)(vi)), the Company shall be responsible for the Sale Expenses incurred in connection with the Piggyback Registration prior to its withdrawal under this Section 2(b)(iii).</w:t>
        <w:br/>
        <w:br/>
        <w:t>(iv) Unlimited Piggyback Registration Rights. For purposes of clarity, subject to Section 2(a)(vi), any Piggyback Registration effected pursuant to Section 2(b) shall not be counted as a demand for an Underwritten Shelf Takedown under Section 2(a)(iv).</w:t>
        <w:br/>
        <w:br/>
        <w:t>(c)    Block Trades; Other Coordinated Offerings.</w:t>
        <w:br/>
        <w:br/>
        <w:t>(i)   Block Trades. Notwithstanding the foregoing, at any time and from time to time when an effective Shelf Registration Statement is on file with the Commission, if a Demanding Holder wishes to engage in (A) a Block Trade or (B) an “at the market” or similar registered offering through a broker, sales agent or distribution agent, whether as agent or principal (an “Other Coordinated Offering”), in each case with a total offering price reasonably expected to exceed, in the aggregate, either (x) $10.0 million or (y) all remaining Registrable Securities held by the Demanding Holder, then notwithstanding the time periods provided for in Section 2(a)(iv), such Demanding Holder shall notify the Company of the Block Trade or Other Coordinated Offering at least five (5) business days prior to the day such offering is to commence and the Company shall as expeditiously as possible use its commercially reasonable efforts to facilitate such Block Trade or Other Coordinated Offering; provided that the Demanding Holders representing a majority of the Registrable Securities wishing to engage in the Block Trade or Other Coordinated Offering shall use commercially reasonable efforts to work with the Company and any underwriters or placement agents or sales agents prior to making such request in order to facilitate preparation of the registration statement, prospectus and other offering documentation related to the Block Trade or Other Coordinated Offering; provided further that in the case of such underwritten Block Trade or Other Coordinated Offering, only such Holder shall have a right to notice of and to participate in such offering.</w:t>
        <w:br/>
        <w:br/>
        <w:t>(ii)  Withdrawal. Prior to the filing of the applicable “red xxxxxxx” prospectus or prospectus supplement used in connection with a Block Trade or Other Coordinated Offering, a majority-in-interest of the Demanding Holders initiating such Block Trade or Other Coordinated Offering shall have the right to submit a Withdrawal Notice to the Company and the underwriter or underwriters or placement agents or sales agents (if any) of their intention to withdraw from such Block Trade or Other Coordinated Offering. If withdrawn, a demand for a Block Trade or Other Coordinated Offering shall constitute a demand for an Underwritten Shelf Takedown, unless the Holder reimburses the Company for all Sale Expenses with respect to such Block Trade or Other Coordinated Offering.</w:t>
        <w:br/>
        <w:br/>
        <w:t>(iii) Cap on Block Trades and Other Coordinated Offerings. Any Registration effected pursuant to this Section 2(c) shall be deemed an Underwritten Shelf Takedown and counted towards the Shelf Takedown Limit. Notwithstanding anything to the contrary in this Agreement, Section 2(b) shall not apply to a Block Trade or Other Coordinated Offering initiated by a Demanding Holder pursuant to this Agreement.  Provided, however, a Block Trade or Other Coordinated Offering shall not be deemed an Underwritten Shelf Takedown and shall not count towards the Shelf Takedown Limit if the Company is not required to take any of the actions described in subsections (v), (vi) and (xi) of Section 3(a) in connection with such Block Trade or Other Coordinated Offering.</w:t>
        <w:br/>
        <w:br/>
        <w:t>8</w:t>
        <w:br/>
        <w:t>(d)  Continued Effectiveness. The Company shall use commercially reasonable efforts to keep any Registration Statement continuously effective for the period beginning on the date on which such Registration Statement is declared effective and ending on the date that all of Registrable Securities registered under the Registration Statement cease to be Registrable Securities. During the period that such Registration Statement is effective, the Company shall use commercially reasonable efforts to supplement or make amendments to the Registration Statement, if required by the Securities Act or if reasonably requested by Holder (whether or not required by the form on which the securities are being registered), including to reflect any specific plan of distribution or method of sale, and shall use its commercially reasonable efforts to have such supplements and amendments declared effective, if required, as soon as practicable after filing.</w:t>
        <w:br/>
        <w:br/>
        <w:t>(e)   Suspension Period; Blackout Period.</w:t>
        <w:br/>
        <w:br/>
        <w:t>(i)   Misstatement.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practicable after the time of such notice), or until it is advised in writing by the Company that the use of the Prospectus may be resumed (any such period, a “Suspension Period”).</w:t>
        <w:br/>
        <w:br/>
        <w:t>(ii)  Other Suspension. Notwithstanding any provision of this Agreement to the contrary, if the Board determines in good faith that any use of a Registration Statement or Prospectus hereunder involving Registrable Securities would (i) reasonably be expected to, in the good faith judgment of the majority of the Board, after consultation with counsel to the Company, materially impede, delay or interfere with, or require premature disclosure of, any material financing, offering, acquisition, disposition, merger, corporate reorganization, segment reclassification or discontinuance of operations that is required to be reflected in pro forma or restated financial statements that amends historical financial statements of the Company, or other significant transaction or any negotiations, discussions or pending proposals with respect thereto, involving the Company or any of its subsidiaries; (ii) require the inclusion in such Registration Statement of financial statements that are unavailable to the Company for reasons beyond the Company’s control; or (iii) require, after consultation with counsel to the Company, the disclosure of material non-public information, the disclosure of which would (x) not be required to be made if a Registration Statement were not being used and (y) reasonably be expected to materially and adversely affect the Company, then the Company shall be entitled to suspend, for not more than sixty (60) consecutive days (any such period, a “Blackout Period”), but in no event more than two (2) times in any consecutive twelve (12) month period (which periods may be successive), commencing on the date of this Agreement, the use of any Registration Statement or Prospectus and shall not be required to amend or supplement the Registration Statement, any related Prospectus or any document incorporated therein by reference. The Company promptly will give written notice of any such Blackout Period to the Holders.</w:t>
        <w:br/>
        <w:br/>
        <w:t>(f)   Sale Expenses. All Sale Expenses of any Holder incurred in connection with Section 2 and Section 3 shall be borne by the Company. It is acknowledged by the Holders that the Holders shall bear all incremental selling expenses relating to the sale of Registrable Securities, such as underwriters’ or agents’ commissions and discounts, brokerage fees, underwriter marketing costs and, other than as set forth in the definition of “Sale Expenses,” all reasonable fees and expenses of any legal counsel representing the Holders.</w:t>
        <w:br/>
        <w:br/>
        <w:t>(g)  Market Stand-Off. In connection with any Underwritten Offering of equity securities of the Company (other than a Block Trade or Other Coordinated Offering), each Holder that holds greater than five percent (5%) of the outstanding Common Stock that is given an opportunity to participate in the Underwritten Offering pursuant to the terms of this Agreement and participates in such Underwritten Offering and each Holder that is an executive officer or director of the Company agrees that it shall not transfer any shares of Common Stock or other equity securities of the Company (other than those included in such offering pursuant to this Agreement), without the prior written consent of the Company, during the 90-day period beginning on the date of pricing of such offering or such shorter period during which the Company agrees not to conduct an underwritten primary offering of Common Stock, except in the event the underwriters managing the offering otherwise agree by written consent. Each Holder that holds greater than five percent (5%) of the outstanding Common Stock and participates in such Underwritten Offering or is an executive officer or director of the Company agrees to execute a customary lock-up agreement in favor of the underwriters to such effect (in each case on substantially the same terms and conditions as all such Holders).</w:t>
        <w:br/>
        <w:br/>
        <w:t>9</w:t>
        <w:br/>
        <w:t>3.            PROCEDURES</w:t>
        <w:br/>
        <w:br/>
        <w:t>(a)   In connection with the filing of any Registration Statement or sale of Registrable Securities as provided in this Agreement, the Company shall use commercially reasonable efforts to, as expeditiously as reasonably practicable:</w:t>
        <w:br/>
        <w:br/>
        <w:t>(i)   notify promptly the Holders and, if requested by a Holder, confirm such advice in writing promptly at the address determined in accordance with Section 6(d), (A) of the issuance by the Commission or any state securities authority of any stop order suspending the effectiveness of a Registration Statement or the initiation of any proceedings for that purpose, (B) if, between the effective date of a Registration Statement and the closing of any sale of Registrable Securities covered thereby, the representations and warranties of the Company contained in any underwriting agreement, securities sales agreement or other similar agreement, if any, relating to the offering cease to be true and correct in all material respects, (C) of the happening of any event or the discovery of any facts during the period a Registration Statement is effective as a result of which such Registration Statement or any document incorporated by reference therein contains any Misstatement or alleged Misstatement (which information shall be accompanied by an instruction to suspend the use of the Registration Statement and the prospectus until the requisite changes have been made), (D) of the receipt by the Company of any notification with respect to the suspension of the qualification of Registrable Securities for sale in any jurisdiction or the initiation or threatening of any proceeding for such purpose and (E) of the filing of a post-effective amendment to such Registration Statement;</w:t>
        <w:br/>
        <w:br/>
        <w:t>(ii)  furnish each Holder’s legal counsel, if any, copies of any comment letters relating to such Holder received from the Commission or any other request by the Commission or any state securities authority for amendments or supplements to a Registration Statement and prospectus or for additional information relating to such Holder;</w:t>
        <w:br/>
        <w:br/>
        <w:t>(iii) use commercially reasonable efforts to obtain the withdrawal of any order suspending the effectiveness of a Registration Statement as promptly as practicable;</w:t>
        <w:br/>
        <w:br/>
        <w:t>(iv) upon the occurrence of any event or the discovery of any facts, as contemplated by Section 3(a)(i)(C), as promptly as practicable after the occurrence of such an event, use its commercially reasonable efforts to prepare a supplement or post-effective amendment to the Registration Statement or the related prospectus or any document incorporated therein by reference or file any other required document so that, as thereafter delivered to the purchasers of Registrable Securities, such prospectus will not contain at the time of such delivery any Misstatement or alleged Misstatement. At such time as such public disclosure is otherwise made or the Company determines that such disclosure is not necessary, in each case to correct any Misstatement, the Company agrees promptly to notify the Holders of such determination and to furnish any Holder such number of copies of the prospectus as amended or supplemented, as such Holder may reasonably request;</w:t>
        <w:br/>
        <w:br/>
        <w:t>(v)  enter into agreements in customary form (including underwriting agreements) and take all other reasonable and customary appropriate actions in order to expedite or facilitate the disposition of such Registrable Securities regardless of whether an underwriting agreement is entered into and regardless of whether the registration is an underwritten registration, including:</w:t>
        <w:br/>
        <w:br/>
        <w:t>(A)       for an Underwritten Offering, making such representations and warranties to the underwriters, if any, in form, substance and scope as are customarily made by issuers to underwriters in similar Underwritten Offerings as may be reasonably requested by them;</w:t>
        <w:br/>
        <w:br/>
        <w:t>(B)      for an Underwritten Offering, obtaining opinions of counsel to the Company and updates thereof (which counsel and opinions (in form, scope and substance) shall be reasonably satisfactory to any managing underwriter(s) and their counsel) addressed to the underwriters, if any, covering the matters customarily covered in opinions requested in Underwritten Offerings and such other matters as may be reasonably requested by the underwriter(s);</w:t>
        <w:br/>
        <w:br/>
        <w:t>(C)      for an Underwritten Offering, obtaining “comfort” letters and updates thereof from the Company’s independent registered public accounting firm (and, if necessary, any other independent certified public accountants of any subsidiary of the Company or of any business acquired by the Company for which financial statements are, or are required to be, included in the Registration Statement) addressed to the underwriter(s), such letters to be in customary form and covering matters of the type customarily covered in “comfort” letters to underwriters in connection with similar Underwritten Offerings;</w:t>
        <w:br/>
        <w:br/>
        <w:t>(D)     entering into a securities sales agreement with the Holder(s) and an agent of Xxxxxx(s) providing for, among other things, the appointment of such agent for the Holder(s) for the purpose of soliciting purchases of Registrable Securities, which agreement shall be in form, substance and scope customary for similar offerings;</w:t>
        <w:br/>
        <w:br/>
        <w:t>10</w:t>
        <w:br/>
        <w:t>(E)      if an underwriting agreement is entered into, using commercially reasonable efforts to cause the same to set forth indemnification provisions and procedures substantially similar to the indemnification provisions and procedures set forth in Section 4 with respect to the underwriters or, at the request of any underwriters, in the form customarily provided to underwriters in similar types of transactions; and</w:t>
        <w:br/>
        <w:br/>
        <w:t>(F)        delivering such documents and certificates as may be reasonably requested and as are customarily delivered in similar offerings to the managing underwriters, if any;</w:t>
        <w:br/>
        <w:br/>
        <w:t>(vi) make available for inspection by any underwriter participating in any disposition pursuant to a Registration Statement, the Holders’ legal counsel and any accountant retained by a Holder, all financial and other records, pertinent corporate documents and properties or assets of the Company reasonably requested by any such Persons (excluding all trade secrets and other proprietary or privileged information) to the extent required for the offering, and cause the respective officers, directors, employees, and any other agents of the Company to supply all information reasonably requested by any such representative, underwriter, counsel or accountant in connection with a Registration Statement, and make such representatives of the Company available for discussion of such documents as shall be reasonably requested by the Company; provided, however, that the Holders’ legal counsel, if any, and the representatives of any underwriters will use commercially reasonable efforts, to the extent reasonably practicable, to coordinate the foregoing inspection and information gathering and to not unreasonably disrupt the Company’s business operations;</w:t>
        <w:br/>
        <w:br/>
        <w:t>(vii) a reasonable time prior to filing any Registration Statement, any prospectus forming a part thereof, any amendment to such Registration Statement, or amendment or supplement to such prospectus, provide copies of such document to the underwriter(s) of an Underwritten Offering of Registrable Securities; within five (5) Business Days after the filing of any Registration Statement, provide copies of such Registration Statement to any Holder’s legal counsel upon request; consider in good faith making any changes requested and make such changes in any of the foregoing documents as are legally required prior to the filing thereof, or in the case of changes received from any Holder’s legal counsel by filing an amendment or supplement thereto, as the underwriter or underwriters, or in the case of changes received from a Holder’s legal counsel relating to such Holder or the plan of distribution of Registrable Securities, as such Xxxxxx’s legal counsel reasonably requests prior to the effectiveness of the applicable Registration Statement; not file any such document in a form to which any underwriter shall not have previously been advised and furnished a copy of; not include in any amendment or supplement to such documents any information about any Holders or any change to the plan of distribution of Registrable Securities that would limit the method of distribution of Registrable Securities unless such Holder’s legal counsel has been advised in advance and has approved such information or change (it being understood that any Holder that determines not to approve the inclusion of such change or information that has been specifically requested by the Commission will not have its Registrable Securities included in such Registration Statement and the Company shall not be in breach of this Agreement as a result of such exclusion); and reasonably during normal business hours make the representatives of the Company available for discussion of such document as shall be reasonably requested by the Holders’ legal counsel, if any, on behalf of a Holder, Holder’s legal counsel or any underwriter;</w:t>
        <w:br/>
        <w:br/>
        <w:t>(viii) otherwise use commercially reasonable efforts to comply with all applicable rules and regulations of the Commission and make available to its securityholders, as soon as reasonably practicable, an earnings statement covering at least twelve (12) months beginning with the first day of the Company’s first full calendar quarter after the effective date of the Registration Statement, which shall satisfy the provisions of Section 11(a) of the Securities Act and Rule 158 thereunder;</w:t>
        <w:br/>
        <w:br/>
        <w:t>(ix) cooperate and assist in any filings required to be made with FINRA and in the performance of any due diligence investigation by any underwriter and its counsel (including any “qualified independent underwriter” that is required to be retained in accordance with the rules and regulations of FINRA);</w:t>
        <w:br/>
        <w:br/>
        <w:t>(x)  if Registrable Securities are to be sold in an Underwritten Offering, include in the registration statement to be used all such information as may be reasonably requested by the underwriters for the marketing and sale of such Registrable Securities; and</w:t>
        <w:br/>
        <w:br/>
        <w:t>11</w:t>
        <w:br/>
        <w:t>(xi) in connection with an Underwritten Offering, use its reasonable efforts to cause the appropriate officers of the Company to (A) prepare and make presentations at any “road shows” and before analysts and (B) cooperate as reasonably requested by the underwriters in the offering, marketing or selling of Registrable Securities.</w:t>
        <w:br/>
        <w:br/>
        <w:t>(b)    Each Holder agrees that, upon receipt of any notice from the Company of the happening of any event or the discovery of any facts of the type described in Section 3(a)(i), each Holder will forthwith discontinue disposition of Registrable Securities pursuant to a Registration Statement relating to such Registrable Securities until such Holder’s receipt of the copies of the supplemented or amended prospectus contemplated by Section 3(a)(i), and, if so directed by the Company, each Holder will deliver to the Company (at the Company’s expense) all copies in such Xxxxxx’s possession, other than permanent file copies then in such Holder’s possession, of the prospectus covering such Registrable Securities at the time of receipt of such notice.</w:t>
        <w:br/>
        <w:br/>
        <w:t>(c)    The Company may (as a condition to any Holder’s participation in an Underwritten Offering or Xxxxxx’s inclusion in a Registration Statement) require each Holder to furnish to the Company such information regarding the Holder and the proposed distribution by the Holder as the Company may from time to time reasonably request in writing.</w:t>
        <w:br/>
        <w:br/>
        <w:t>4.            INDEMNIFICATION</w:t>
        <w:br/>
        <w:br/>
        <w:t>(a)   Indemnification by The Company. The Company agrees to indemnify and hold harmless each Holder, and the respective officers, directors, partners, employees, representatives and agents of each Holder, and each Person, if any, who controls (within the meaning of Section 15 of the Securities Act or Section 20 of the Exchange Act) a Holder, as follows:</w:t>
        <w:br/>
        <w:br/>
        <w:t>(i)   against any and all loss, liability, claim, damage, judgment, actions, other liabilities and expenses whatsoever (the “Liabilities”), as incurred, arising out of any Misstatement contained in any Registration Statement (or any amendment or supplement thereto) pursuant to which Registrable Securities were registered under the Securities Act at the time such Registration Statement became effective, including all documents incorporated therein by reference;</w:t>
        <w:br/>
        <w:br/>
        <w:t>(ii)  against any and all Liabilities,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provided that any such settlement is effected with the written consent of the Company; and</w:t>
        <w:br/>
        <w:br/>
        <w:t>(iii) against any and all expense whatsoever, as incurred (including the fees and disbursements of counsel chosen by any indemnified party),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Section 4(a)(i) or Section 4(a)(ii); provided, however, that the indemnity obligations in this Section 4(a) shall not apply to any Liabilities (A) to the extent arising out of any untrue statement or omission or alleged untrue statement or omission made in reliance upon and in conformity with written information furnished to the Company by any Holder with the understanding that such information will be used in a Registration Statement (or any amendment thereto) or any prospectus (or any amendment or supplement thereto) or (B) to the extent they arise from the use of any Registration Statement during any Suspension Period or Blackout Period.</w:t>
        <w:br/>
        <w:br/>
        <w:t>(b)  Indemnification by the Holders. The Holders agree, severally and not jointly, to indemnify and hold harmless the Company, and each of its respective officers, directors, partners, employees, representatives and agents and any person controlling the Company, against any and all Liabilities described in the indemnity contained in Section 4(a), as incurred, but only with respect to Misstatements or alleged Misstatements made in the Registration Statement (or any amendment thereto) or any prospectus included therein (or any amendment or supplement thereto) in reliance upon and in conformity with written information with respect to such Holder furnished to the Company by such Holder with the understanding that such information will be used in the Registration Statement (or any amendment thereto) or such prospectus (or any amendment or supplement thereto); provided, however, that Holder shall not be liable for any claims hereunder in excess of the amount of net proceeds received by such Holder from the sale of Registrable Securities pursuant to such Registration Statement.</w:t>
        <w:br/>
        <w:br/>
        <w:t>12</w:t>
        <w:br/>
        <w:t>(c)    Notices of Claims, etc. Each indemnified party shall give notice as promptly as reasonably practicable to each indemnifying party of any action or proceeding commenced against it in respect of which indemnity may be sought hereunder, but failure so to notify an indemnifying party shall not relieve such indemnifying party from any Liability hereunder to the extent it is not materially prejudiced as a result thereof and in any event shall not relieve it from any Liability which it may have otherwise than on account of this indemnity agreement. An indemnifying party may participate at its own expense in the defense of such action; provided, however, that counsel to the indemnifying party shall not (except with the consent of the indemnified party) also be counsel to the indemnified party. In no event shall the indemnifying party or parties be liable for the fees and expenses of more than one counsel (in addition to any local counsel) separate from their own counsel for all indemnified parties in connection with any one action or separate but similar or related actions in the same jurisdiction arising out of the same general allegations or circumstances. No indemnifying party shall, without the prior written consent of the indemnified parties, settle or compromise or consent to the entry of any judgment with respect to any litigation, or any investigation or proceeding by any governmental agency or body, commenced or threatened, or any claim whatsoever in respect of which indemnification or contribution could be sought under this Section 4 (whether or not the indemnified parties are actual or potential parties thereto), unless such settlement, compromise or consent (i) includes an unconditional release of each indemnified party from all Liability arising out of such litigation, investigation, proceeding or claim and (ii) does not include a statement as to or an admission of fault, culpability or a failure to act by or on behalf of any indemnified party.</w:t>
        <w:br/>
        <w:br/>
        <w:t>(d)    Contribution. If the indemnification provided for in this Section 4 is for any reason unavailable to or insufficient to hold harmless an indemnified party in respect of any Liabilities referred to therein, then each indemnifying party shall contribute to the aggregate amount of such Liabilities incurred by such indemnified party, as incurred, in such proportion as is appropriate to reflect the relative fault of the Company, on the one hand, and the Holders, on the other hand, in connection with the statements or omissions which resulted in such Liabilities, as well as any other relevant equitable considerations. The relative fault of the Company, on the one hand, and the Holders, on the other hand, shall be determined by reference to, among other things, whether any Misstatement or alleged Misstatements relates to information supplied by the Company or a Holder and the parties’ relative intent, knowledge, access to information and opportunity to correct or prevent such statement or omission. The Company and each Holder agree that it would not be just and equitable if contribution pursuant to this Section 4 were determined by pro rata allocation or by any other method of allocation which does not take account of the equitable considerations referred to above in this Section 4. The aggregate amount of Liabilities incurred by an indemnified party and referred to above in this Section 4 shall be deemed to include any legal or other expenses reasonably incurred by such indemnified party in investigating, preparing or defending against any litigation, or any investigation or proceeding by any governmental agency or body, commenced or threatened, or any claim whatsoever based upon any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For purposes of this Section 4, each Person, if any, who controls a Holder within the meaning of Section 15 of the Securities Act or Section 20 of the Exchange Act, shall have the same rights to contribution as the Holder, and each director of the Company, and each Person, if any, who controls the Company within the meaning of Section 15 of the Securities Act or Section 20 of the Exchange Act shall have the same rights to contribution as the Company.</w:t>
        <w:br/>
        <w:br/>
        <w:t>5.            TERMINATION. The rights of the Holders under this Agreement shall terminate in accordance with the terms of this Agreement and in any event, with respect to each Holder, the date on which such Holder or any of its permitted assignees no longer hold any Registrable Securities. Notwithstanding the foregoing, the obligations of the parties under Section 4 of this Agreement shall remain in full force and effect following such time.</w:t>
        <w:br/>
        <w:br/>
        <w:t>6.            MISCELLANEOUS</w:t>
        <w:br/>
        <w:br/>
        <w:t>(a)   Covenants Relating To Rule 144. With a view to making available to the Holders the benefits of Rule 144 and any other rule or regulation of the SEC that may at any time permit a Holder to sell securities of the Company to the public without registration or pursuant to a registration statement, if the Shares of the Company are registered under the Exchange Act, the Company agrees to: (A) file with the SEC all reports and other documents required of the Company under Section 13(a) or 15(d) of the Exchange Act (at any time after it has become subject to such reporting requirements); and (B) furnish to any Holder, so long as the Holder owns any Registrable Securities, upon request, (i) a written statement by the Company that it has complied with the reporting requirements of the Exchange Act (at any time after it has become subject to such reporting requirements), or that it qualifies as a registrant whose securities may be resold pursuant to a registration statement (at any time after it so qualifies) and (ii) such other information as may be reasonably requested by any Holder in order to avail itself of any rule or regulation of the SEC which permits the selling of any such securities without registration or pursuant to such form.</w:t>
        <w:br/>
        <w:br/>
        <w:t>13</w:t>
        <w:br/>
        <w:t>(b)   No Inconsistent Agreements. The Company has not entered into, and the Company will not after the date of this Agreement enter into, any agreement which is inconsistent with the rights granted to the Holders pursuant to this Agreement or otherwise conflicts with the provisions of this Agreement, and the Company hereby represents and warrants that, as of the date hereof, no registration or similar rights have been granted to any other person other than pursuant to this Agreement.</w:t>
        <w:br/>
        <w:br/>
        <w:t>(c)   Amendment; Modification; Waiver. This Agreement may be amended, modified or supplemented at any time only by written agreement of the Company and the Holders owning a majority in voting power of the then-outstanding Registrable Securities; provided, however, that notwithstanding the foregoing, any amendment hereto or waiver hereof that adversely affects one Holder, solely in its capacity as a holder of the shares of the Company, in a manner that is materially different from the other Holders (in such capacity) shall require the consent of the Holder so affected. The conditions to the respective obligations of each of the parties to this Agreement to consummate the transactions contemplated hereby are for the sole benefit of such party and may be waived by such party in whole or in part to the extent permitted by applicable law; provided, however, that any such waiver shall only be effective if made in writing and executed by the party against whom the waiver is to be effective. No failure or delay by any party to this Agreement in exercising any right, power or privilege hereunder or under applicable law shall operate as a waiver of such rights and, except as otherwise expressly provided herein, no single or partial exercise thereof shall preclude any other or further exercise thereof or the exercise of any other right, power or privilege. The rights and remedies herein provided shall be cumulative and not exclusive of any rights or remedies provided by law.</w:t>
        <w:br/>
        <w:br/>
        <w:t>(d)   Notices. All notices and other communications hereunder shall be in writing and shall be deemed to have been duly given (a) when delivered in person or, by e-mail (return receipt requested), (b) on the next Business Day when sent by overnight courier or (c) on the second succeeding Business Day when sent by registered or certified mail (postage prepaid, return receipt requested) to the respective parties to this Agreement at the following addresses (or at such other address for a party to this Agreement as shall be specified by like notice):</w:t>
        <w:br/>
        <w:br/>
        <w:t>If to a Holder, to the most current address given by such Holder to the Company by means of a notice given in accordance with the provisions of this Section 6(d).</w:t>
        <w:br/>
        <w:br/>
        <w:t>If to the Company to:</w:t>
        <w:br/>
        <w:br/>
        <w:t>DevvStream Corp.</w:t>
        <w:br/>
        <w:t>c/o DevvStream Holdings Inc.</w:t>
        <w:br/>
        <w:t>0000-0000 Xxxx Xxxxxxxx Xxxxxx</w:t>
        <w:br/>
        <w:t>Xxxxxxxxx, XX X0X 0X0</w:t>
        <w:br/>
        <w:t>Attention: Xxxxx Xxxxx</w:t>
        <w:br/>
        <w:t>E-mail: xxxxx@xxxxxxxxxx.xxx</w:t>
        <w:br/>
        <w:br/>
        <w:t>with a copy (which shall not constitute notice) to:</w:t>
        <w:br/>
        <w:br/>
        <w:t>Xxxxxxxx &amp; Xxxxxxxx LLP</w:t>
        <w:br/>
        <w:t>00000 Xxxx Xxxxx Xxxxx</w:t>
        <w:br/>
        <w:t>San Diego, CA 92130</w:t>
        <w:br/>
        <w:t>Attention: Xxxx Xxxxxxxx; Xxxx Xxxxxxx; Xxxxxx Xxxxx</w:t>
        <w:br/>
        <w:t>Email: xxxxxxxxx@xxxx.xxx; xxxxxxxx@xxxx.xxx; xxxxxxxxxxx@xxxx.xxx</w:t>
        <w:br/>
        <w:br/>
        <w:t>and</w:t>
        <w:br/>
        <w:br/>
        <w:t>Xxxxxxxx &amp; Xxxxx LLP</w:t>
        <w:br/>
        <w:t>000 Xxxxxxxxx Xxxxxx</w:t>
        <w:br/>
        <w:t>New York, NY 10022</w:t>
        <w:br/>
        <w:t>Attn: Xxxxxx X. Xxxxxxxxx, P.C.; Xxxxx Xxxxxxxx, P.C.</w:t>
        <w:br/>
        <w:t>Email: xxxxxx.xxxxxxxxx@xxxxxxxx.xxx; xxxxx.xxxxxxxx@xxxxxxxx.xxx</w:t>
        <w:br/>
        <w:br/>
        <w:t>All such notices, requests, demands, waivers and communications shall be deemed received upon (i) actual receipt thereof by the addressee, or (ii) actual delivery thereof to the appropriate address.</w:t>
        <w:br/>
        <w:br/>
        <w:t>14</w:t>
        <w:br/>
        <w:t>(e)   Binding Agreement; Assignment. This Agreement and all of the provisions hereof shall be binding upon and shall inure to the benefit of the parties to this Agreement and their respective successors and permitted assigns. Other than with respect to registration rights provided hereunder which may be assigned by a Holder to its Affiliates, no party to this Agreement may assign its rights under this Agreement without the prior written consent of the other parties, and any attempted or purported assignment or delegation in violation of this Section 6(e) shall be null and void. Provided, however, that if Sponsor seeks to effectuate an in-kind distribution of all or part of its Registrable Securities to its direct or indirect equityholders (an “In-Kind Distribution”), the Company will use reasonable best efforts to work with Sponsor to facilitate such In-Kind Distribution in the manner reasonably requested. Prior to any In-Kind Distribution, each distributee shall deliver to the Company a written acknowledgment and agreement in form and substance reasonably satisfactory to the Company that the distributee will be bound by, and will be a party to, this Agreement; provided, however, that a failure by a distributee to deliver such acknowledgment and agreement shall not render such distribution to such distributee void, but such distributee shall not be entitled to the benefits of this Agreement until such time as such acknowledgment and agreement is delivered. Upon any In-Kind Distribution, (i) in the event of a distribution of all of Sponsor’s Registrable Securities, the distributees holding Registrable Securities equal to a majority-in-interest of the Registrable Securities then held by Sponsor at the time of such distribution shall thereafter be entitled to exercise and enforce the rights specifically granted to Sponsor hereunder and (ii) each distributee shall be considered a “Holder” hereunder.</w:t>
        <w:br/>
        <w:br/>
        <w:t>(f)   Specific Performance. The parties to this Agreement acknowledge that the rights of each party hereto to consummate the transactions contemplated hereby are unique and recognize and affirm that in the event of a breach of this Agreement by any party hereto, money damages may be inadequate and the non-breaching party may have no adequate remedy at law. Accordingly, the parties to this Agreement agree that such non-breaching party shall have the right, in addition to any other rights and remedies existing in their favor at law or in equity, to enforce its rights and the other parties’ obligations hereunder not only by an action or actions for damages but also by an action or actions for specific performance, injunctive and/or other equitable relief (without posting of bond or other security), including any order, injunction or decree sought by such non-breaching party to cause the other parties hereto to perform their respective agreements and covenants contained in this Agreement. Each party to this Agreement further agrees that the only permitted objection that it may raise in response to any action for equitable relief is that it contests the existence of a breach or threatened breach of this Agreement, and that no party to this Agreement shall allege, and each party to this Agreement hereby waives the defense, that there is an adequate remedy at law.</w:t>
        <w:br/>
        <w:br/>
        <w:t>(g)  Counterparts. This Agreement may be executed in counterparts, each of which shall be deemed to be an original, but all of which taken together shall constitute one and the same agreement. Delivery of an executed counterpart of a signature page to this Agreement by e-mail shall be as effective as delivery of a manually executed counterpart of the Agreement.</w:t>
        <w:br/>
        <w:br/>
        <w:t>(h)   Headings. The article and section headings contained in this Agreement are exclusively for the purpose of reference, are not part of the agreement of the parties to this Agreement and shall not in any way affect the meaning or interpretation of this Agreement.</w:t>
        <w:br/>
        <w:br/>
        <w:t>(i)   Governing Law. This Agreement shall be governed by and construed in accordance with the laws of the State of Delaware (regardless of the laws that might otherwise govern under applicable principles of conflicts of laws thereof) as to all matters, including matters of validity, construction, effect, performance and remedies.</w:t>
        <w:br/>
        <w:br/>
        <w:t>15</w:t>
        <w:br/>
        <w:t>(j)   Consent to Jurisdiction, etc.; WAIVER OF JURY TRIAL. Each party to this Agreement irrevocably agrees that any action, suit or proceeding between or among the parties to this Agreement arising in connection with any disagreement, dispute, controversy or claim arising out of or relating to this Agreement or any related document (each, a “Legal Dispute”) shall be brought exclusively in the courts of the State of Delaware; provided that if subject matter jurisdiction over the Legal Dispute is vested exclusively in the United States federal courts, such Legal Dispute shall be heard in the United States District Court for the District of Delaware. Each party to this Agreement hereby irrevocably and unconditionally submits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that is brought in any such court has been brought in an inconvenient forum. During the period a Legal Dispute that is filed in accordance with this Section 6(j) is pending before a court, all actions, suits or proceedings with respect to such Legal Dispute or any other Legal Dispute, including any counterclaim, cross-claim or interpleader, shall be subject to the exclusive jurisdiction of such court. Each party to this Agreement may bring such Legal Dispute only if he, she or it hereby waives, and shall not assert as a defense in any Legal Dispute, that (a) such party is not personally subject to the jurisdiction of the above-named courts for any reason, (b) such action, suit or proceeding may not be brought or is not maintainable in such court, (c) such party’s property is exempt or immune from execution, (d) such action, suit or proceeding is brought in an inconvenient forum, or (e) the venue of such action, suit or proceeding is improper. A final judgment in any action, suit or proceeding described in this Section 6(j) following the expiration of any period permitted for appeal and subject to any stay during appeal shall be conclusive and may be enforced in other jurisdictions by suit on the judgment or in any other manner provided by applicable laws. EACH OF THE PARTIES TO THIS AGREEMENT MAY BRING A LEGAL DISPUTE ONLY IF HE, SHE OR IT IRREVOCABLY AND UNCONDITIONALLY WAIVES ANY RIGHT TO TRIAL BY JURY ON ANY CLAIMS OR COUNTERCLAIMS ASSERTED IN ANY LEGAL DISPUTE RELATING TO THIS AGREEMENT OR THE TRANSACTIONS CONTEMPLATED HEREBY AND FOR ANY COUNTERCLAIM RELATING THERETO. IF THE SUBJECT MATTER OF ANY SUCH LEGAL DISPUTE IS ONE IN WHICH THE WAIVER OF JURY TRIAL IS PROHIBITED, NO PARTY NOR ANY PERSON ASSERTING RIGHTS AS A THIRD-PARTY BENEFICIARY SHALL ASSERT IN SUCH LEGAL DISPUTE A NONCOMPULSORY COUNTERCLAIM ARISING OUT OF OR RELATING TO THIS AGREEMENT OR THE TRANSACTIONS CONTEMPLATED HEREBY. FURTHERMORE, NO PARTY TO THIS AGREEMENT SHALL SEEK TO CONSOLIDATE ANY SUCH LEGAL DISPUTE WITH A SEPARATE ACTION OR OTHER LEGAL PROCEEDING IN WHICH A JURY TRIAL CANNOT BE WAIVED.</w:t>
        <w:br/>
        <w:br/>
        <w:t>(k)   Severability. If any term or other provision of this Agreement is invalid, illegal or incapable of being enforced by any rule of law or public policy, all other terms, conditions and provisions of this Agreement shall nevertheless remain in full force and effect so long as the economic or legal substance of the transactions contemplated hereby are not affected in any manner materially adverse to any party to this Agreement. Upon such determination that any term or other provision is invalid, illegal or incapable of being enforced, the parties to this Agreement shall negotiate in good faith to modify this Agreement so as to effect the original intent of the parties hereto as closely as possible in a mutually acceptable manner in order that the transactions contemplated hereby be consummated as originally contemplated to the fullest extent possible.</w:t>
        <w:br/>
        <w:br/>
        <w:t>(l)   Brokered Sales.  At any time and from time to time in connection with a sale or transfer of Registrable Securities exempt from registration under the Securities Act or through any broker-dealer transactions described in the plan of distribution set forth within any prospectus and pursuant to the Registration Statement of which such prospectus forms a part, the Company shall, subject to the receipt of customary documentation required from the applicable Holders in connection therewith and compliance with applicable laws, (i) promptly instruct its transfer agent to remove any restrictive legends applicable to the Registrable Securities being sold or transferred and (ii) cause its legal counsel to deliver the necessary legal opinions, if any, to the transfer agent in connection with the instruction under subclause clause (i). In addition, the Company shall cooperate reasonably with, and take such customary actions as may reasonably be requested by such Holders in connection with the aforementioned sales or transfers.</w:t>
        <w:br/>
        <w:br/>
        <w:t>[SIGNATURE PAGE FOLLOWS]</w:t>
        <w:br/>
        <w:br/>
        <w:t>16</w:t>
        <w:br/>
        <w:t>IN WITNESS WHEREOF, the parties have caused this Agreement to be executed as of the date first above written.</w:t>
        <w:br/>
        <w:br/>
        <w:t xml:space="preserve">  DEVVSTREAM CORP.</w:t>
        <w:br/>
        <w:t xml:space="preserve">        By:</w:t>
        <w:br/>
        <w:t>/s/ Xxxxx Xxxxx</w:t>
        <w:br/>
        <w:t xml:space="preserve">  Name:</w:t>
        <w:br/>
        <w:t>Xxxxx Xxxxx</w:t>
        <w:br/>
        <w:t xml:space="preserve">  Title:</w:t>
        <w:br/>
        <w:t>Chief Executive Officer</w:t>
        <w:br/>
        <w:br/>
        <w:t xml:space="preserve">  FOCUS IMPACT SPONSOR, LLC</w:t>
        <w:br/>
        <w:t xml:space="preserve">        By:</w:t>
        <w:br/>
        <w:t>/s/ Xxxx Xxxxxxx</w:t>
        <w:br/>
        <w:t xml:space="preserve">  Name:</w:t>
        <w:br/>
        <w:t>Xxxx Xxxxxxx</w:t>
        <w:br/>
        <w:t xml:space="preserve">  Title:</w:t>
        <w:br/>
        <w:t>Authorized Signatory</w:t>
        <w:br/>
        <w:t xml:space="preserve">        Legacy Devvstream Holders</w:t>
        <w:br/>
        <w:t xml:space="preserve">      DEVVIO, INC.</w:t>
        <w:br/>
        <w:t xml:space="preserve">        By:</w:t>
        <w:br/>
        <w:t xml:space="preserve"> /s/ Xxx Xxxxxxxx</w:t>
        <w:br/>
        <w:t xml:space="preserve">  Name:</w:t>
        <w:br/>
        <w:t>Xxx Xxxxxxxx</w:t>
        <w:br/>
        <w:t xml:space="preserve">  Title:</w:t>
        <w:br/>
        <w:t>Chief Executive Officer</w:t>
        <w:br/>
        <w:br/>
        <w:t xml:space="preserve">  Xxxxx Xxxxx</w:t>
        <w:br/>
        <w:t xml:space="preserve">        By:</w:t>
        <w:br/>
        <w:t>/s/ Xxxxx Xxxxx</w:t>
        <w:br/>
        <w:br/>
        <w:t xml:space="preserve">  Xxxxxx Xxxxxxxx</w:t>
        <w:br/>
        <w:t xml:space="preserve">        By:</w:t>
        <w:br/>
        <w:t xml:space="preserve"> /s/ Xxxxxx Xxxxxxxx</w:t>
        <w:br/>
        <w:br/>
        <w:t xml:space="preserve">  Xxx Xxxxxxxx</w:t>
        <w:br/>
        <w:t xml:space="preserve">        By:</w:t>
        <w:br/>
        <w:t xml:space="preserve"> /s/ Xxx Xxxxxxxx</w:t>
        <w:br/>
        <w:br/>
        <w:t>[Signature Page to Amended and Restated Registration Rights Agreement]</w:t>
        <w:br/>
        <w:t xml:space="preserve">  Xxxxxx Xxxxx Xxxxxxx</w:t>
        <w:br/>
        <w:t xml:space="preserve">        By:</w:t>
        <w:br/>
        <w:t xml:space="preserve"> /s/ Xxxxxx Xxxxx Xxxxxxx</w:t>
        <w:br/>
        <w:br/>
        <w:t xml:space="preserve">  Xxxxxxx Xxxxxxx</w:t>
        <w:br/>
        <w:t xml:space="preserve">        By:</w:t>
        <w:br/>
        <w:t xml:space="preserve"> /s/ Xxxxxxx Xxxxxxx</w:t>
        <w:br/>
        <w:br/>
        <w:t xml:space="preserve">  Xxxxxxx Xxxxxxx</w:t>
        <w:br/>
        <w:t xml:space="preserve">        By:</w:t>
        <w:br/>
        <w:t xml:space="preserve"> /s/ Xxxxxxx Xxxxxxx</w:t>
        <w:br/>
        <w:br/>
        <w:t xml:space="preserve">  Xxxxx Xxxxxx</w:t>
        <w:br/>
        <w:t xml:space="preserve">        By:</w:t>
        <w:br/>
        <w:t xml:space="preserve"> /s/ Xxxxx Xxxxxx</w:t>
        <w:br/>
        <w:br/>
        <w:t xml:space="preserve">  Xxxxxxxxxxx Xxxxxx</w:t>
        <w:br/>
        <w:t xml:space="preserve">        By:</w:t>
        <w:br/>
        <w:t xml:space="preserve"> /s/ Xxxxxxxxxxx Xxxxxx</w:t>
        <w:br/>
        <w:br/>
        <w:t xml:space="preserve">  Xxxxx Xxxx</w:t>
        <w:br/>
        <w:t xml:space="preserve">        By:</w:t>
        <w:br/>
        <w:t xml:space="preserve"> /s/ Xxxxx Xxxx</w:t>
        <w:br/>
        <w:br/>
        <w:br/>
        <w:t>[Signature Page to Amended and Restated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