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FORM OF AMENDED AND RESTATED REGISTRATION RIGHTS AGREEMENT</w:t>
        <w:br/>
        <w:t xml:space="preserve">  THIS AMENDED AND RESTATED REGISTRATION RIGHTS AGREEMENT (this “Agreement”), is made and entered into as of [●], 2024, and shall be effective as of the Closing (as defined below), is made and entered into by and among (i) Alps Global Holding Pubco (successor to Globalink Investment Inc.), a Cayman Islands exempted (the “Pubco”), (ii) GL Sponsor LLC, a Delaware limited liability company (the “Sponsor”), (iii) each of the undersigned parties listed as Pre-BC Investors on the signature page hereto (each such party, together with the Sponsor and any person or entity deemed a “Pre-BC Investor” and collectively the “Pre-BC Investors”), and (iv) each of the former shareholders of Alps Life Sciences Inc, a Cayman Islands exempted company (“Alps Holdco”) whose names are listed on Exhibit B hereto (each a “Alps Holdco Shareholder” and collectively the “Alps Holdco Shareholders”) (each of the foregoing parties (other than Pubco) and any Person (as defined below) who hereafter becomes a party to this Agreement pursuant to Section 6.2 of this Agreement, an “Investor” and collectively, the “Investors”).</w:t>
        <w:br/>
        <w:t xml:space="preserve">  WHEREAS, each of Globalink Investment Inc., a Delaware corporation (“Globalink”) and the Pre-BC Investors are a party to a certain Registration Rights Agreement, dated December 6, 2021 (the “Original Registration Rights Agreement”), pursuant to which Globalink granted the Pre-BC Investors certain registration rights with respect to certain securities of Pubco, as set forth therein;</w:t>
        <w:br/>
        <w:t xml:space="preserve">  WHEREAS, Globalink, Pubco, Alps Holdco, Alps Biosciences Merger Sub, a Cayman Islands exempted company and a wholly owned subsidiary of Pubco (“Merger Sub”), and certain other parties thereto have entered into that certain Amended and Restated Merger Agreement (as it may be amended, modified or supplemented from time to time, the “Merger Agreement”), dated as of May 20, 2024, which provides, among other things, that Globalink will redomicile into the Cayman Islands via a merger between Globalink and Pubco, with Pubco continuing as the surviving company (the “Reincorporation Merger”), in accordance with the Merger Agreement, the Plan of Merger and the Companies Act (as such terms are defined in the Merger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