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FINAL VERSION</w:t>
        <w:br/>
        <w:t xml:space="preserve">  AMENDED AND RESTATED</w:t>
        <w:br/>
        <w:t>REGISTRATION RIGHTS AGREEMENT</w:t>
        <w:br/>
        <w:t xml:space="preserve">  THIS AMENDED AND RESTATED REGISTRATION RIGHTS AGREEMENT (this “Agreement”), dated as of [•], is made and entered into by and among AERKOMM Inc., a Delaware corporation (the “Company”) (formerly known as IX Acquisition Corp., a Cayman Islands exempted company limited by shares, prior to its domestication as a Delaware corporation), IX Acquisition Sponsor LLC, a Cayman Islands limited liability company (the “Sponsor”), certain former stockholders of AERKOMM Inc., a Nevada corporation (“Target”), set forth on Schedule 1 hereto (such stockholders, the “Target Holders”) and other persons and entities (collectively with the Sponsor, the Target Holders and any person or entity who hereafter becomes a party to this Agreement pursuant to Section 5.2 or Section 5.10 of this Agreement, the “Holders” and each, a “Holder”).</w:t>
        <w:br/>
        <w:t xml:space="preserve">  RECITALS</w:t>
        <w:br/>
        <w:t xml:space="preserve">  WHEREAS, the Company, the Sponsor and each of the other parties thereto are party to that certain Registration Rights Agreement, dated as of October 6, 2021 (the “Original RRA”);</w:t>
        <w:br/>
        <w:t xml:space="preserve">  WHEREAS, the Company has entered into that certain Merger Agreement, dated as of [•], 2024 (as it may be amended, supplemented or otherwise modified from time to time, the “Merger Agreement”), by and among the Company, AKOM Merger Sub, Inc., a Nevada corporation and a direct, wholly owned subsidiary of the Company (“Merger Sub”), and Target, pursuant to which, among other things, the Company, at least one business day prior to the Closing Date (as defined below), will de-register from the Register of Companies in the Cayman Islands by way of continuation out of the Cayman Islands and into the State of Delaware so as to migrate to and domesticate as a Delaware corporation (the “Domestication”) and, upon the terms and subject to the conditions of the Merger Agreement, and in accordance with the Nevada Revised Statutes, Merger Sub will be merged with and into the Target (the “Merger”), with the Target surviving the Merger as a wholly owned subsidiary of the Company;</w:t>
        <w:br/>
        <w:t xml:space="preserve">  WHEREAS, on the date of the Domestication, as contemplated by the Merger Agreement, (i) each issued and outstanding ordinary share of the Company (other than ordinary shares redeemed pursuant to the Company’s amended and restated memorandum and articles of association) was converted automatically into one share of the Company’s common stock, par value $0.0001 per share (the “Common Stock”), (ii) each issued and outstanding warrant of the Company became exercisable for one share of Common Stock (“Warrant”), on substantially the same terms and conditions as were applicable to such warrant prior to the Domestication, and (iii) each outstanding unit of the Company separated and converted automatically into one share of Common Stock and one-half of one Warrant;</w:t>
        <w:br/>
        <w:t xml:space="preserve">  WHEREAS, on the date hereof, pursuant to the Merger Agreement, the Target Holders received shares of Common Stock;</w:t>
        <w:br/>
        <w:t xml:space="preserve">  WHEREAS, pursuant to Section 5.5 of the Original RRA, the provisions, covenants and conditions set forth therein may be amended or modified upon the written consent of the Company and the Holders (as defined in the Original RRA) of at least a majority-in-interest of the Registrable Securities (as defined in the Original RRA) at the time in question and the Sponsor holds a majority-in-interest of the Registrable Securities (as defined in the Original RRA) as of the date hereof; and</w:t>
        <w:br/>
        <w:t xml:space="preserve">      WHEREAS, the Company and the Sponsor desire to amend and restate the Original RRA in its entirety and enter into this Agreement, pursuant to which the Company shall grant the Holders certain registration rights with respect to certain securities of the Company, as set forth in this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DEFINITIONS</w:t>
        <w:br/>
        <w:t xml:space="preserve">  1.1           Definitions. The terms defined in this Article I shall, for all purposes of this Agreement, have the respective meanings set forth below:</w:t>
        <w:br/>
        <w:t xml:space="preserve">  “Additional Holder” shall have the meaning given in Section 5.10.</w:t>
        <w:br/>
        <w:t xml:space="preserve">  “Additional Holder Common Stock” shall have the meaning given in Section 5.10.</w:t>
        <w:br/>
        <w:t xml:space="preserve">  “Adverse Disclosure” shall mean any public disclosure of material non-public information, which disclosure, in the good faith judgment of the Chief Executive Officer or the Chief Financial Officer of the Company, after consultation with counsel to the Company, (a)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(b) would not be required to be made at such time if the Registration Statement were not being filed, declared effective or used, as the case may be, and (c) the Company has a bona fide business purpose for not making such information public.</w:t>
        <w:br/>
        <w:t xml:space="preserve">  “Agreement” shall have the meaning given in the Preamble hereto.</w:t>
        <w:br/>
        <w:t xml:space="preserve">  “Block Trade” shall have the meaning given in Section 2.4.1.</w:t>
        <w:br/>
        <w:t xml:space="preserve">  “Board” shall mean the Board of Directors of the Company.</w:t>
        <w:br/>
        <w:t xml:space="preserve">  “Closing” shall have the meaning given in the Merger Agreement.</w:t>
        <w:br/>
        <w:t xml:space="preserve">  “Closing Date” shall have the meaning given in the Merger Agreement.</w:t>
        <w:br/>
        <w:t xml:space="preserve">  “Commission” shall mean the U.S. Securities and Exchange Commission.</w:t>
        <w:br/>
        <w:t xml:space="preserve">  “Common Stock” shall have the meaning given in the Recitals hereto.</w:t>
        <w:br/>
        <w:t xml:space="preserve">  2</w:t>
        <w:br/>
        <w:t xml:space="preserve">    “Company” shall have the meaning given in the Preamble hereto and includes the Company’s successors by recapitalization, merger, consolidation, spin-off, reorganization or similar transaction.</w:t>
        <w:br/>
        <w:t xml:space="preserve">  “Demanding Holder” shall have the meaning given in Section 2.1.4.</w:t>
        <w:br/>
        <w:t xml:space="preserve">  “Exchange Act” shall mean the Securities Exchange Act of 1934, as it may be amended from time to time.</w:t>
        <w:br/>
        <w:t xml:space="preserve">  “Form S-1 Shelf” shall have the meaning given in Section 2.1.1.</w:t>
        <w:br/>
        <w:t xml:space="preserve">  “Form S-3 Shelf” shall have the meaning given in Section 2.1.1.</w:t>
        <w:br/>
        <w:t xml:space="preserve">  “Holder Information” shall have the meaning given in Section 4.1.2.</w:t>
        <w:br/>
        <w:t xml:space="preserve">  “Holders” shall have the meaning given in the Preamble hereto, for so long as such person or entity holds any Registrable Securities.</w:t>
        <w:br/>
        <w:t xml:space="preserve">  “Insider Letter” shall mean that certain letter agreement, dated October 6, 2021, by and among the Company, the Sponsor and each of the other parties thereto.</w:t>
        <w:br/>
        <w:t xml:space="preserve">  “Joinder” shall have the meaning given in Section 5.10.</w:t>
        <w:br/>
        <w:t xml:space="preserve">  “Lock-up Period” shall have the meaning ascribed to such term in (i) the Sponsor Support Agreement, dated as of [•], 2024, by and among the Company, Target and the Sponsor, with respect to the Sponsor Shares or (ii) the Company’s Bylaws, with respect to the Lock-up Shares held by the Lock-up Holders (as such terms are defined in the Company’s Bylaws), as applicable.</w:t>
        <w:br/>
        <w:t xml:space="preserve">  “Maximum Number of Securities” shall have the meaning given in Section 2.1.5.</w:t>
        <w:br/>
        <w:t xml:space="preserve">  “Merger” shall have the meaning given in the Recitals hereto.</w:t>
        <w:br/>
        <w:t xml:space="preserve">  “Merger Agreement” shall have the meaning given in the Recitals hereto.</w:t>
        <w:br/>
        <w:t xml:space="preserve">  “Merger Sub” shall have the meaning given in the Recitals hereto.</w:t>
        <w:br/>
        <w:t xml:space="preserve">  “Minimum Takedown Threshold” shall have the meaning given in Section 2.1.4.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“Original RRA” shall have the meaning given in the Recitals hereto.</w:t>
        <w:br/>
        <w:t xml:space="preserve">  “Other Coordinated Offering” shall have the meaning given in Section 2.4.1.</w:t>
        <w:br/>
        <w:t xml:space="preserve">  “Permitted Transferees” shall mean any person or entity to whom such Holder of Registrable Securities is permitted to transfer such Registrable Securities, subject to and in accordance with any applicable agreement between such Holder and/or their respective Permitted Transferees and the Company and any transferee thereafter.</w:t>
        <w:br/>
        <w:t xml:space="preserve">  3</w:t>
        <w:br/>
        <w:t xml:space="preserve">    “Piggyback Registration” shall have the meaning given in Section 2.2.1.</w:t>
        <w:br/>
        <w:t xml:space="preserve">  “Private Placement Warrants” shall mean the warrants purchased by the Sponsor in the private placement that occurred concurrently with the closing of the Company’s initial public offering, including any warrants and shares of Common Stock issued or issuable upon conversion, exchange or exercise of such warrants.</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any outstanding shares of Common Stock, Private Placement Warrants and other Warrants, and any shares of Common Stock issued or issuable upon the exercise of Private Placement Warrants, other Warrants and any other equity security and any shares of Common Stock issued or issuable upon the exercise of any equity awards of the Company held by a Holder immediately following the Closing (including any securities distributable pursuant to the Merger Agreement); (b) any outstanding shares of Common Stock, Warrants to purchase shares of Common Stock, equity awards and shares of Common Stock issued or issuable upon the exercise of any other equity security of the Company acquired by a Holder following the date hereof to the extent that such securities are “restricted securities” (as defined in Rule 144) or are otherwise held by an “affiliate” (as defined in Rule 144) of the Company; (c) any Additional Holder Common Stock; and (d) any other equity security of the Company or any of its subsidiaries issued or issuable with respect to any securities referenced in clause (a), (b) or (c) above by way of a stock dividend or stock split or in connection with a recapitalization, merger, consolidation, spin-off, reorganization or similar transaction; provided, however, that, as to any particular Registrable Security,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by the applicable Holder; (B)(i) such securities shall have been otherwise transferred, (ii) new certificates for such securities not bearing (or book entry positions not subject to) a legend restricting further transfer shall have been delivered by the Company and (iii) subsequent public distribution of such securities shall not require registration under the Securities Act; (C) such securities shall have ceased to be outstanding; (D) such securities may be sold without registration pursuant to Rule 144 or any successor rule promulgated under the Securities Act (but with no volume limitations or limitations as to manner or timing of sale); and (E) such securities have been sold to, or through, a broker, dealer or underwriter in a public distribution or other public securities transaction.</w:t>
        <w:br/>
        <w:t xml:space="preserve">  “Registration” shall mean a registration, including any related Shelf Registration, effected by preparing and filing a registration statement, Prospectus or similar document in compliance with the requirements of the Securities Act, and the applicable rules and regulations promulgated thereunder, and such registration statement becoming effective.</w:t>
        <w:br/>
        <w:t xml:space="preserve">  4</w:t>
        <w:br/>
        <w:t xml:space="preserve">    “Registration Expenses” shall mean the documented, out-of-pocket expenses of a Registration, including, without limitation, the following:</w:t>
        <w:br/>
        <w:t xml:space="preserve">  (A)           all registration, listing and filing fees, including fees with respect to filings required to be made with the Financial Industry Regulatory Authority, Inc. and any national securities exchange on which the Common Stock is then listed;</w:t>
        <w:br/>
        <w:t xml:space="preserve">  (B)           fees and expenses of compliance with securities or blue sky laws (including reasonable fees and disbursements of outside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in an Underwritten Offering or Other Coordinated Offering, reasonable fees and expenses of one (1) legal counsel selected by the majority-in-interest of the Demanding Holders, up to $50,000 in the aggregate.</w:t>
        <w:br/>
        <w:t xml:space="preserve">  “Registration Statement” shall mean any registration statement that covers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“Requesting Holders” shall have the meaning given in Section 2.1.5.</w:t>
        <w:br/>
        <w:t xml:space="preserve">  “Securities Act” shall mean the Securities Act of 1933, as amended from time to time.</w:t>
        <w:br/>
        <w:t xml:space="preserve">  “Shelf” shall mean the Form S-1 Shelf, the Form S-3 Shelf or any Subsequent Shelf Registration Statement, as the case may be.</w:t>
        <w:br/>
        <w:t xml:space="preserve">  “Shelf Registration” shall mean a registration of securities pursuant to a registration statement filed with the Commission in accordance with and pursuant to Rule 415 promulgated under the Securities Act (or any successor rule then in effect).</w:t>
        <w:br/>
        <w:t xml:space="preserve">  “Sponsor” shall have the meaning given in the Preamble hereto.</w:t>
        <w:br/>
        <w:t xml:space="preserve">  “Sponsor Shares” means [_______] shares of Common Stock held by the Sponsor.</w:t>
        <w:br/>
        <w:t xml:space="preserve">  “Subsequent Shelf Registration Statement” shall have the meaning given in Section 2.1.2.</w:t>
        <w:br/>
        <w:t xml:space="preserve">  “Target” shall have the meaning given in the Preamble hereto.</w:t>
        <w:br/>
        <w:t xml:space="preserve">  “Target Holders” shall have the meaning given in the Preamble hereto.</w:t>
        <w:br/>
        <w:t xml:space="preserve">  5</w:t>
        <w:br/>
        <w:t xml:space="preserve">    “Transfer” shall mean the (a) sale or assignment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shall mean a securities dealer who purchases any Registrable Securities as principal in an Underwritten Offering and not as part of such dealer’s market-making activities.</w:t>
        <w:br/>
        <w:t xml:space="preserve">  “Underwritten Offering” shall mean a Registration in which securities of the Company are sold to an Underwriter in a firm commitment underwriting for distribution to the public.</w:t>
        <w:br/>
        <w:t xml:space="preserve">  “Withdrawal Notice” shall have the meaning given in Section 2.1.6.</w:t>
        <w:br/>
        <w:t xml:space="preserve">  ARTICLE II</w:t>
        <w:br/>
        <w:t>REGISTRATIONS AND OFFERINGS</w:t>
        <w:br/>
        <w:t xml:space="preserve">  2.1           Shelf Registration.</w:t>
        <w:br/>
        <w:t xml:space="preserve">  2.1.1           Filing. Within thirty (30) calendar days following the Closing Date (the “Filing Date”), the Company shall submit to or file with the Commission a Registration Statement for a Shelf Registration on Form S-1 (the “Form S-1 Shelf”) or a Registration Statement for a Shelf Registration on Form S-3 (the “Form S-3 Shelf”), if the Company is then eligible to use a Form S-3 Shelf, in each case, covering the resale of all the Registrable Securities (determined as of two (2) business days prior to such submission or filing) on a delayed or continuous basis as permitted by Rule 415 under the Securities Act (or any successor or similar provision adopted by the Commission then in effect) and shall use its reasonable best efforts to have such Shelf declared effective as soon as practicable after the filing thereof, but no later than the seventy-fifth (75th) calendar day following the Filing Date; provided that the Company shall have the Shelf declared effective within ten (10) business days after the date the Company is notified (orally or in writing, whichever is earlier) by the staff of the Commission that the Shelf will not be reviewed or will not be subject to further review by the Commission; provided further that if such date falls on a Saturday, Sunday or other day that the Commission is closed for business, such date shall be extended to the next business day on which the Commission is open for business and if the Commission is closed for operations due to a government shutdown then such date shall be extended by the same number of business days that the Commission remains closed. Such Shelf shall provide for the resale of the Registrable Securities included therein pursuant to any method or combination of methods legally available to, and requested by, any Holder named therein. The Company shall maintain a Shelf in accordance with the terms hereof, and shall prepare and file with the Commission such amendments, including post-effective amendments, and supplements as may be necessary to keep a Shelf continuously effective, available for use to permit the Holders named therein to sell their Registrable Securities included therein and in compliance with the provisions of the Securities Act until such time as there are no longer any Registrable Securities. In the event the Company files a Form S-1 Shelf, the Company shall use its commercially reasonable efforts to convert the Form S-1 Shelf (and any Subsequent Shelf Registration Statement) to a Form S-3 Shelf as soon as practicable after the Company is eligible to use Form S-3. The Company’s obligation under this Section 2.1.1, shall, for the avoidance of doubt, be subject to Section 3.4.</w:t>
        <w:br/>
        <w:t xml:space="preserve">   6</w:t>
        <w:br/>
        <w:t xml:space="preserve">    2.1.2           Subsequent Shelf Registration. If any Shelf ceases to be effective under the Securities Act for any reason at any time while Registrable Securities are still outstanding, the Company shall, subject to Section 3.4, use its commercially reasonable efforts to as promptly as is reasonably practicable cause such Shelf to again become effective under the Securities Act (including using its commercially reasonable efforts to obtain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Statement”) registering the resale of all Registrable Securities (determined as of two (2) business days prior to such filing), and pursuant to any method or combination of methods legally available to, and requested by, any Holder named therein. If a Subsequent Shelf Registration Statement is filed, the Company shall use its commercially reasonable efforts to (i) cause such Subsequent Shelf Registration Statement to become effective under the Securities Act as promptly as is reasonably practicable after the filing thereof (it being agreed that the Subsequent Shelf Registration Statement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Statement continuously effective, available for use to permit the Holders named therein to sell their Registrable Securities included therein and in compliance with the provisions of the Securities Act until such time as there are no longer any Registrable Securities. Any such Subsequent Shelf Registration Statement shall be on Form S-3 to the extent that the Company is eligible to use such form. Otherwise, such Subsequent Shelf Registration Statement shall be on another appropriate form. The Company’s obligation under this Section 2.1.2, shall, for the avoidance of doubt, be subject to Section 3.4.</w:t>
        <w:br/>
        <w:t xml:space="preserve">  2.1.3           Additional Registration Statement(s). Subject to Section 3.4, in the event that any Holder holds Registrable Securities that are not registered for resale on a delayed or continuous basis, the Company, upon written request of such Holder, shall promptly use its commercially reasonable efforts to cause the resale of such Registrable Securities to be covered by filing a Subsequent Shelf Registration Statement and cause the same to become effective as soon as practicable after such filing and such Subsequent Shelf Registration Statement shall be subject to the terms hereof; provided, however, that the Company shall only be required to cause such Registrable Securities to be so covered twice per calendar year for each of the Sponsor and the Target Holders.</w:t>
        <w:br/>
        <w:t xml:space="preserve">  2.1.4           Requests for Underwritten Offerings. Subject to Section 3.4, at any time and from time to time following the expiration of the Lock-up Period, the Sponsor or a Target Holder (any of the Sponsor or a Target Holder being in such case, a “Demanding Holder”) may request to sell all or any portion of its Registrable Securities in an Underwritten Offering; provided that the Company shall only be obligated to effect an Underwritten Offering if such offering shall include Registrable Securities proposed to be sold by the Demanding Holder, either individually or together with other Demanding Holders, with a total offering price reasonably expected to exceed, in the aggregate, $25 million (the “Minimum Takedown Threshold”). All requests for Underwritten Offerings shall be made by giving written notice to the Company, which shall specify the approximate number of Registrable Securities proposed to be sold in the Underwritten Offering. Subject to Section 2.4.4, the initial Demanding Holder shall have the right to select the Underwriters for such offering (which shall consist of one or more reputable nationally recognized investment banks), subject to the Company’s prior approval (which shall not be unreasonably withheld, conditioned or delayed). The Sponsor and the Target Holders may each demand not more than one (1) Underwritten Offering pursuant to this Section 2.1.4 in any twelve (12) month period, for an aggregate of not more than two (2) Underwritten Offerings pursuant to this Section 2.1.4 in any twelve (12) month period. Notwithstanding anything to the contrary in this Agreement, the Company may effect any Underwritten Offering pursuant to any then effective Registration Statement, including a Form S-3, that is then available for such offering.</w:t>
        <w:br/>
        <w:t xml:space="preserve">  7</w:t>
        <w:br/>
        <w:t xml:space="preserve">    2.1.5           Reduction of Underwritten Offering. If the managing Underwriter or Underwriters in an Underwritten Offering, in good faith, advises the Company, the Demanding Holders and the Holders requesting piggy back rights pursuant to this Agreement with respect to such Underwritten Offering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all other shares of Common Stock or other equity securities, if any, that have been requested to be sold in such Underwritten Offering pursuant to separate written contractual piggy-back registration rights held by any other stockholders,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before including any shares of Common Stock or other equity securities proposed to be sold by Company or by other holders of Common Stock or other equity securities, (i) first, the Registrable Securities of the Demanding Holders that can be sold without exceeding the Maximum Number of Securities (pro rata based on the respective number of Registrable Securities that each Demanding Holder has requested be included in such Underwritten Offering and the aggregate number of Registrable Securities that all of the Demanding Holders have requested be included in such Underwritten Offering), (ii) second, to the extent that the Maximum Number of Securities has not been reached under the foregoing clause (i), the Registrable Securities of the Requesting Holders (if any) (pro rata based on the respective number of Registrable Securities that each Requesting Holder (if any) has requested be included in such Underwritten Offering and the aggregate number of Registrable Securities that all of the Requesting Holders have requested be included in such Underwritten Offering) that can be sold without exceeding the Maximum Number of Securities, (iii) third, to the extent that the Maximum Number of Securities has not been reached under the foregoing clauses (i) and (ii), the shares of Common Stock or other equity securities that the Company desires to sell, which can be sold without exceeding the Maximum Number of Securities, and (iv) fourth, to the extent that the Maximum Number of Securities has not been reached under the foregoing clauses (i), (ii) and (iii), the shares of Common Stock or other equity securities of persons other than Holders of Registrable Securities that the Company is obligated to register in a Registration pursuant to separate written contractual arrangements with such persons that can be sold without exceeding the Maximum Number of Securities.</w:t>
        <w:br/>
        <w:t xml:space="preserve">  8</w:t>
        <w:br/>
        <w:t xml:space="preserve">    2.1.6           Withdrawal. Prior to the filing of the applicable “red xxxxxxx” prospectus or prospectus supplement used for marketing such Underwritten Offering, a majority-in-interest of the Demanding Holders initiating an Underwritten Offering shall have the right to withdraw from such Underwritten Offering for any or no reason whatsoever upon written notification (a “Withdrawal Notice”) to the Company and the Underwriter or Underwriters (if any) of their intention to withdraw from such Underwritten Offering; provided that the Sponsor or a Target Holder may elect to have the Company continue an Underwritten Offering if the Minimum Takedown Threshold would still be satisfied by the Registrable Securities proposed to be sold in the Underwritten Offering by the Sponsor, the Target Holders or any of their respective Permitted Transferees, as applicable. If withdrawn, a demand for an Underwritten Offering shall constitute a demand for an Underwritten Offering by the withdrawing Demanding Holder for purposes of Section 2.1.4, unless such Demanding Holder reimburses the Company for all Registration Expenses with respect to such Underwritten Offering (or, if there is more than one Demanding Holder, a pro rata portion of such Registration Expenses based on the respective number of Registrable Securities that each Demanding Holder has requested be included in such Underwritten Offering); provided that, if the Sponsor or a Target Holder elects to continue an Underwritten Offering pursuant to the proviso in the immediately preceding sentence, such Underwritten Offering shall instead count as an Underwritten Offering demanded by the Sponsor or such Target Holder, as applicable, for purposes of Section 2.1.4. Following the receipt of any Withdrawal Notice, the Company shall promptly forward such Withdrawal Notice to any other Holders that had elected to participate in such Underwritten Offering. Notwithstanding anything to the contrary in this Agreement, the Company shall be responsible for the Registration Expenses incurred in connection with an Underwritten Offering prior to its withdrawal under this Section 2.1.6, other than if a Demanding Holder elects to pay such Registration Expenses pursuant to the second sentence of this Section 2.1.6.</w:t>
        <w:br/>
        <w:t xml:space="preserve">  2.2           Piggyback Registration.</w:t>
        <w:br/>
        <w:t xml:space="preserve">  2.2.1           Piggyback Rights. Subject to Section 2.4.3, if the Company or any Holder proposes to conduct a registered offering of, or if the Company proposes to file a Registration Statement under the Securities Act with respect to the Registration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an Underwritten Offering pursuant to Section 2.1), other than a Registration Statement (or any registered offering with respect thereto) (i) filed in connection with any employee stock option or other benefit plan, (ii) pursuant to a Registration Statement on Form S-4 (or similar form that relates to a transaction subject to Rule 145 under the Securities Act or any successor rule thereto), (iii) for an offering of debt that is convertible into equity securities of the Company, (iv) for a dividend reinvestment plan, (v) for an exchange offer or offering of securities solely to the Company’s existing securityholders, (vi) for a rights offering, (vii) for an equity line of credit or an at-the-market offering of securities, (viii) a Block Trade or (ix) an Other Coordinated Offering, then the Company shall give written notice of such proposed offering to all of the Holders of Registrable Securities as soon as practicable but not less than ten (10)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include in such registered offering such number of Registrable Securities as such Holders may request in writing within five (5) days after receipt of such written notice (such registered offering, a “Piggyback Registration”). Subject to Section 2.2.2, the Company shall, in good faith, cause such Registrable Securities to be included in such Piggyback Registration and, if applicable, shall use its commercially reasonable efforts to cause the managing Underwriter or Underwriters of such Piggyback Registration to permit the Registrable Securities requested by the Holders pursuant to this Section 2.2.1 to be included therein on the same terms and conditions as any similar securities of the Company included in such registered offering and to permit the sale or other disposition of such Registrable Securities in accordance with the intended method(s) of distribution thereof. The inclusion of any Holder’s Registrable Securities in a Piggyback Registration shall be subject to such Holder agreement to enter into an underwriting agreement in customary form with the Underwriter(s) selected for such Underwritten Offering.</w:t>
        <w:br/>
        <w:t xml:space="preserve">  9</w:t>
        <w:br/>
        <w:t xml:space="preserve">    2.2.2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shares of Common Stock or other equity securities that the Company desires to sell, taken together with (i) the shares of Common Stock or other equity securities, if any, as to which Registration or a registered offering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or a registered offering has been requested pursuant to separate written contractual piggy-back registration rights of persons or entities other than the Holders of Registrable Securities hereunder, exceeds the Maximum Number of Securities, then:</w:t>
        <w:br/>
        <w:t xml:space="preserve">  (a)           if the Registration or registered offering is undertaken for the Company’s account, the Company shall include in any such Registration or registered offering (A) first, the shares of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respective number of Registrable Securities that each Holder has requested be included in such Underwritten Offering and the aggregate number of Registrable Securities that the Holders have requested to be included in such Underwritten Offering, which can be sold without exceeding the Maximum Number of Securities; and (C) third, to the extent that the Maximum Number of Securities has not been reached under the foregoing clauses (A) and (B), the shares of Common Stock or other equity securities, if any, as to which Registration or a registered offering has been requested pursuant to separate written contractual piggy-back registration rights of persons or entities other than the Holders of Registrable Securities hereunder, which can be sold without exceeding the Maximum Number of Securities;</w:t>
        <w:br/>
        <w:t xml:space="preserve">  (b)           if the Registration or registered offering is pursuant to a demand by persons or entities other than the Holders of Registrable Securities, then the Company shall include in any such Registration or registered offering (A) first, the shares of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respective number of Registrable Securities that each Holder has requested be included in such Underwritten Offering and the aggregate number of Registrable Securities that the Holders have requested to be included in such Underwritten Offering, which can be sold without exceeding the Maximum Number of Securities; (C) third, to the extent that the Maximum Number of Securities has not been reached under the foregoing clauses (A) and (B), the shares of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Common Stock or other equity securities, if any, as to which Registration or a registered offering has been requested pursuant to separate written contractual piggy-back registration rights of persons or entities other than the Holders of Registrable Securities hereunder, which can be sold without exceeding the Maximum Number of Securities; and</w:t>
        <w:br/>
        <w:t xml:space="preserve">  10</w:t>
        <w:br/>
        <w:t xml:space="preserve">    (c)           if the Registration or registered offering and Underwritten Offering is pursuant to a request by Xxxxxx(s) of Registrable Securities pursuant to Section 2.1 hereof, then the Company shall include in any such Registration or registered offering securities in the priority set forth in Section 2.1.5.</w:t>
        <w:br/>
        <w:t xml:space="preserve">  2.2.3           Piggyback Registration Withdrawal. Any Holder of Registrable Securities (other than a Demanding Holder, whose right to withdraw from an Underwritten Offering, and related obligations, shall be governed by Section 2.1.6)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or entities pursuant to separate written contractual obligations) may withdraw a Registration Statement filed with the Commission in connection with a Piggyback Registration (which, in no circumstance, shall include a Shelf) at any time prior to the effectiveness of such Registration Statement. Notwithstanding anything to the contrary in this Agreement (other than Section 2.1.6), the Company shall be responsible for the Registration Expenses incurred in connection with the Piggyback Registration prior to its withdrawal under this Section 2.2.3.</w:t>
        <w:br/>
        <w:t xml:space="preserve">  2.2.4           Unlimited Piggyback Registration Rights. For purposes of clarity, subject to Section 2.1.6, any Piggyback Registration effected pursuant to Section 2.2 hereof shall not be counted as a demand for an Underwritten Offering under Section 2.1.4 hereof.</w:t>
        <w:br/>
        <w:t xml:space="preserve">  2.3           Market Stand-off. In connection with any Underwritten Offering of equity securities of the Company (other than a Block Trade or Other Coordinated Offering), if requested by the managing Underwriters, each Holder participating in the Underwritten Offering that is (a) an executive officer, (b) a director or (c) Holder in excess of five percent (5%) of the outstanding Common Stock (and for which it is customary for such a Holder to agree to a lock-up) agrees that it shall not Transfer any shares of Common Stock or other equity securities of the Company (other than those included in such offering pursuant to this Agreement), without the prior written consent of the Company, during the ninety (90)-day period (or such shorter time agreed to by the managing Underwriters) beginning on the date of pricing of such offering, except as expressly permitted by such lock-up agreement or in the event the managing Underwriters otherwise agree by written consent. Each such Holder agrees to execute a customary lock-up agreement in favor of the Underwriters to such effect (in each case on substantially the same terms and conditions as all such Holders).</w:t>
        <w:br/>
        <w:t xml:space="preserve">  2.4           Block Trades; Other Coordinated Offerings.</w:t>
        <w:br/>
        <w:t xml:space="preserve">  2.4.1           Notwithstanding any other provision of this Article II, but subject to Section 3.4, at any time and from time to time when an effective Shelf is on file with the Commission, at any time and from time to time following the expiration of the Lock-up Period, if a Demanding Holder wishes to engage in (a) an underwritten registered offering not involving a “roadshow,” an offer commonly known as a “block trade” (a “Block Trade”), or (b) an “at the market” or similar registered offering through a broker, sales agent or distribution agent, whether as agent or principal (an “Other Coordinated Offering”), in each case, (x) with a total offering price reasonably expected to exceed $25 million in the aggregate or (y) with respect to all remaining Registrable Securities held by the Demanding Holder, then such Demanding Holder shall notify the Company of the Block Trade or Other Coordinated Offering at least five (5) business days prior to the day such offering is to commence and the Company shall use its commercially reasonable efforts to facilitate such Block Trade or Other Coordinated Offering; provided that the Demanding Holders representing a majority of the Registrable Securities wishing to engage in the Block Trade or Other Coordinated Offering shall use commercially reasonable efforts to work with the Company and any Underwriters, brokers, sales agents or placement agents prior to making such request in order to facilitate preparation of the registration statement, prospectus and other offering documentation related to the Block Trade or Other Coordinated Offering.</w:t>
        <w:br/>
        <w:t xml:space="preserve">  11</w:t>
        <w:br/>
        <w:t xml:space="preserve">    2.4.2           Prior to the filing of the applicable “red xxxxxxx” prospectus or prospectus supplement used in connection with a Block Trade or Other Coordinated Offering, a majority-in-interest of the Demanding Holders initiating such Block Trade or Other Coordinated Offering shall have the right to submit a Withdrawal Notice to the Company, the Underwriter or Underwriters (if any) and any brokers, sales agents or placement agents (if any) of their intention to withdraw from such Block Trade or Other Coordinated Offering. Notwithstanding anything to the contrary in this Agreement, the Company shall be responsible for the Registration Expenses incurred in connection with a Block Trade or Other Coordinated Offering prior to its withdrawal under this Section 2.4.2.</w:t>
        <w:br/>
        <w:t xml:space="preserve">  2.4.3           Notwithstanding anything to the contrary in this Agreement, Section 2.2 shall not apply to a Block Trade or Other Coordinated Offering initiated by a Demanding Holder pursuant to this Agreement.</w:t>
        <w:br/>
        <w:t xml:space="preserve">  2.4.4           The Demanding Holder in a Block Trade or Other Coordinated Offering shall have the right to select the Underwriters and any brokers, sales agents or placement agents (if any) for such Block Trade or Other Coordinated Offering (in each case, which shall consist of one or more reputable nationally recognized investment banks).</w:t>
        <w:br/>
        <w:t xml:space="preserve">  2.4.5 A Demanding Holder in the aggregate may demand no more than two (2) Block Trades or Other Coordinated Offerings pursuant to this Section 2.4 in any twelve (12) month period. For the avoidance of doubt, any Block Trade or Other Coordinated Offering effected pursuant to this Section 2.4 shall not be counted as a demand for an Underwritten Offering pursuant to Section 2.1.4 hereof.</w:t>
        <w:br/>
        <w:t xml:space="preserve">  ARTICLE III</w:t>
        <w:br/>
        <w:t>COMPANY PROCEDURES</w:t>
        <w:br/>
        <w:t xml:space="preserve">  3.1           General Procedures. If at any time the Company is required to effect the Registration of Registrable Securities hereunder, the Company shall use its commercially reasonable efforts to effect such Registration to permit the sale of such Registrable Securities in accordance with the intended plan of distribution thereof, and pursuant thereto the Company shall:</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covered by such Registration Statement are sold in accordance with the intended plan of distribution set forth in such Registration Statement or have ceased to be Registrable Securities;</w:t>
        <w:br/>
        <w:t xml:space="preserve">  12</w:t>
        <w:br/>
        <w:t xml:space="preserve">    3.1.2           prepare and file with the Commission such amendments and post-effective amendments to the Registration Statement, and such supplements to the Prospectus, as may be reasonably requested by any Holder that holds at least five percent (5%) of the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have ceased to be Registrable Securities;</w:t>
        <w:br/>
        <w:t xml:space="preserve">  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reasonably request in order to facilitate the disposition of the Registrable Securities owned by such Holders; provided that the Company shall have no obligation to furnish any documents publicly filed or furnished with the Commission pursuant to the Electronic Data Gathering, Analysis and Retrieval System (“XXXXX”);</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or as a dealer in securities in any jurisdiction where it would not otherwise be required to qualify or take any action to which it would be subject to general service of process or taxation in any such jurisdiction where it is not then otherwise so subject;</w:t>
        <w:br/>
        <w:t xml:space="preserve">  3.1.5           cause all such Registrable Securities to be listed on each national securities exchange on which similar securities issued by the Company are then listed;</w:t>
        <w:br/>
        <w:t xml:space="preserve">  3.1.6           provide a transfer agent or warrant agent, as applicable, and registrar for all such Registrable Securities no later than the effective date of such Registration Statement;</w:t>
        <w:br/>
        <w:t xml:space="preserve">    13</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at least five (5) days prior to the filing of any Registration Statement or Prospectus or any amendment or supplement to such Registration Statement or Prospectus (or such shorter period of time as may be (a) necessary in order to comply with the Securities Act, the Exchange Act, and the rules and regulations promulgated under the Securities Act or Exchange Act, as applicable or (b) advisable in order to reduce the number of days that sales are suspended pursuant to Section 3.4), furnish a copy thereof to each seller of such Registrable Securities or its counsel (excluding any exhibits thereto and any filing made under the Exchange Act that is to be incorporated by reference therein);</w:t>
        <w:br/>
        <w:t xml:space="preserve">  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w:t>
        <w:br/>
        <w:t xml:space="preserve">  3.1.10           in the event of an Underwritten Offering, a Block Trade, an Other Coordinated Offering, or sale by a broker, placement agent or sales agent pursuant to such Registration, in each of the following cases to the extent customary for a transaction of its type, permit a representative of the Holders, the Underwriters or other financial institutions facilitating such Underwritten Offering, Block Trade, Other Coordinated Offering or other sale pursuant to such Registration, if any, and any attorney, consultant or accountant retained by such Holders or Underwriter to participate, at each such person’s or entity’s own expense, in the preparation of the Registration Statement, and cause the Company’s officers, directors and employees to supply all information reasonably requested by any such representative, Underwriter, financial institution, attorney, consultant or accountant in connection with the Registration; provided, however, that such representatives, Underwriters or financial institutions agree to confidentiality arrangements in form and substance reasonably satisfactory to the Company, prior to the release or disclosure of any such information;</w:t>
        <w:br/>
        <w:t xml:space="preserve">  3.1.11           obtain a “cold comfort” letter from the Company’s independent registered public accountants in the event of an Underwritten Offering, a Block Trade, an Other Coordinated Offering or sale by a broker, placement agent or sales agent pursuant to such Registration (subject to such broker, placement agent or sales agent providing such certification or representation reasonably requested by the Company’s independent registered public accountants and the Company’s counsel) in customary form and covering such matters of the type customarily covered by “cold comfort” letters for a transaction of its type as the managing Underwriter may reasonably request, and reasonably satisfactory to a majority-in-interest of the participating Holders;</w:t>
        <w:br/>
        <w:t xml:space="preserve">  3.1.12           in the event of an Underwritten Offering, a Block Trade, an Other Coordinated Offering or sale by a broker, placement agent or sales agent pursuant to such Registration, on the date the Registrable Securities are delivered for sale pursuant to such Registration, to the extent customary for a transaction of its type, obtain an opinion, dated such date, of counsel representing the Company for the purposes of such Registration, addressed to the participating Holders, the broker, placement agents or sales agent, if any, and the Underwriters, if any, covering such legal matters with respect to the Registration in respect of which such opinion is being given as the participating Holders, broker, placement agent, sales agent or Underwriter may reasonably request and as are customarily included in such opinions and negative assurance letters;</w:t>
        <w:br/>
        <w:t xml:space="preserve">  3.1.13           in the event of any Underwritten Offering, a Block Trade, an Other Coordinated Offering or sale by a broker, placement agent or sales agent pursuant to such Registration, enter into and perform its obligations under an underwriting or other purchase or sales agreement, in usual and customary form, with the managing Underwriter or the broker, placement agent or sales agent of such offering or sale;</w:t>
        <w:br/>
        <w:t xml:space="preserve">  14</w:t>
        <w:br/>
        <w:t xml:space="preserve">    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then in effect), which requirement will be deemed satisfied if the Company timely files Forms 10-K, 10-Q, and 8-K as may be required to be filed under the Exchange Act and otherwise complies with Rule 158 under the Securities Act;</w:t>
        <w:br/>
        <w:t xml:space="preserve">  3.1.15           with respect to an Underwritten Offering pursuant to Section 2.1.4, use its commercially reasonable efforts to make available senior executives of the Company to participate in customary “road show” presentations that may be reasonably requested by the Underwriter in such Underwritten Offering; and</w:t>
        <w:br/>
        <w:t xml:space="preserve">  3.1.16           otherwise, in good faith, cooperate reasonably with, and take such customary actions as may reasonably be requested by the participating Holders, consistent with the terms of this Agreement, in connection with such Registration.</w:t>
        <w:br/>
        <w:t xml:space="preserve">  Notwithstanding the foregoing, the Company shall not be required to provide any documents or information to an Underwriter, broker, sales agent or placement agent if such Underwriter, broker, sales agent or placement agent has not then been named with respect to the applicable Underwritten Offering or other offering involving a registration as an Underwriter, broker, sales agent or placement agent, as applicable.</w:t>
        <w:br/>
        <w:t xml:space="preserve">  3.2           Registration Expenses.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and, other than as set forth in the definition of “Registration Expenses,” all fees and expenses of any legal counsel representing the Holders.</w:t>
        <w:br/>
        <w:t xml:space="preserve">  3.3           Requirements for Participation in Registration Statement and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it is necessary or advisable to include such information in the applicable Registration Statement or Prospectus and such Holder continues thereafter to withhold such information. In addition, no person or entity may participate in any Underwritten Offering or other offering for equity securities of the Company pursuant to a Registration initiated by the Company hereunder unless such person or entity (i) agrees to sell such person’s or entity’s securities on the basis provided in any underwriting, sales, distribution or placement arrangements approved by the Company and (ii) completes and executes all customary questionnaires, powers of attorney, indemnities, lock-up agreements, underwriting or other agreements and other customary documents as may be reasonably required under the terms of such underwriting, sales, distribution or placement arrangements. For the avoidance of doubt, the exclusion of a Holder’s Registrable Securities as a result of this Section 3.3 shall not affect the registration of the other Registrable Securities to be included in such Registration.</w:t>
        <w:br/>
        <w:t xml:space="preserve">  3.4           Suspension of Sales; Adverse Disclosure; Restrictions on Registration Rights.</w:t>
        <w:br/>
        <w:t xml:space="preserve">  3.4.1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reasonably practicable after the time of such notice), or until it is advised in writing by the Company that the use of the Prospectus may be resumed.</w:t>
        <w:br/>
        <w:t xml:space="preserve">      3.4.2           Subject to Section 3.4.4,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such Registration, be seriously detrimental to the Company and the majority of the Board concludes as a result that it is essential to defer such filing, initial effectiveness or continued use at such time, the Company may, upon giving prompt written notice of such action to the Holders (which notice shall not specify the nature of the event giving rise to such delay or suspension), delay the filing or initial effectiveness of, or suspend use of, such Registration Statement for the shortest period of time determined in good faith by the Company to be necessary for such purpose. In the event the Company exercises its rights under this Section 3.4.2,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w:t>
        <w:br/>
        <w:t xml:space="preserve">  3.4.3           Subject to Section 3.4.4, (a) during the period starting with the date thirty (30) days prior to the Company’s good faith estimate of the date of the filing of, and ending on a date ninety (90) days after the effective date of, a Company-initiated Registration and provided that the Company continues to actively employ, in good faith, all commercially reasonable efforts to maintain the effectiveness of the applicable Shelf Registration Statement, or (b) if, pursuant to Section 2.1.4, Holders have requested an Underwritten Offering and the Company and Holders are unable to obtain the commitment of underwriters to firmly underwrite such offering, the Company may, upon giving prompt written notice of such action to the Holders, delay any other registered offering pursuant to Section 2.1.4 or 2.4.</w:t>
        <w:br/>
        <w:t xml:space="preserve">  3.4.4           The right to delay or suspend any filing, initial effectiveness or continued use of a Registration Statement pursuant to Section 3.4.2 or a registered offering pursuant to Section 3.4.3 shall be exercised by the Company, in the aggregate, on not more than three (3) occasions for not more than sixty (60) consecutive calendar days on each occasion or not more than one hundred and twenty (120) total calendar days, in each case, during any twelve (12)-month period.</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XXXXX shall be deemed to have been furnished or delivered to the Holders pursuant to this Section 3.5. The Company further covenants that it shall take such further action as any Holder may reasonably request, all to the extent required from time to time to enable such Holder to sell shares of Common Stock held by such Holder without registration under the Securities Act within the limitation of the exemptions provided by Rule 144 promulgated under the Securities Act (or any successor rule then in effect). Upon the request of any Holder, the Company shall deliver to such Holder a written certification of a duly authorized officer as to whether it has complied with such requirements.</w:t>
        <w:br/>
        <w:t xml:space="preserve">  3.6           Restrictive Legend Removal. Subject to receipt from the Holder by the Company and the Company’s transfer agent (the “Transfer Agent”) of such customary representations and other documentation reasonably acceptable to the Company and the Transfer Agent in connection therewith, the Holder may request that the Company remove any legend from the book entry position evidencing its Registrable Securities and the Company will, if required by the Transfer Agent, use its commercially reasonable efforts to cause an opinion of the Company’s counsel to be provided, in a form reasonably acceptable to the Transfer Agent to the effect that the removal of such restrictive legends in such circumstances may be effected under the Securities Act, following the earliest of such time as such Registrable Securities (i) have been sold or transferred pursuant to an effective Registration, (ii) have been sold pursuant to Rule 144, or (iii) are eligible for resale under Rule 144(b)(1) or any successor provision without the requirement for the Company to be in compliance with the current public information requirement under Rule 144 and without volume or manner-of-sale restrictions applicable to the sale or transfer of such Registrable Securities. If restrictive legends are no longer required for such Registrable Securities pursuant to the foregoing, the Company shall, in accordance with the provisions of this Section 3.6 and within three (3) trading days of any request therefor from the Holder accompanied by such customary and reasonably acceptable representations and other documentation referred to above establishing that restrictive legends are no longer required, deliver to the Transfer Agent irrevocable instructions that the Transfer Agent shall make a new, unlegended entry for such book entry Registrable Securities. The Company shall be responsible for the fees of its Transfer Agent and all DTC fees associated with such issuance.</w:t>
        <w:br/>
        <w:t xml:space="preserve">  16</w:t>
        <w:br/>
        <w:t xml:space="preserve">    ARTICLE IV</w:t>
        <w:br/>
        <w:t>INDEMNIFICATION AND CONTRIBUTION</w:t>
        <w:br/>
        <w:t xml:space="preserve">  4.1           Indemnification.</w:t>
        <w:br/>
        <w:t xml:space="preserve">  4.1.1           The Company agrees to indemnify, to the extent permitted by law, each Holder of Registrable Securities, its officers, directors and agents and each person or entity who controls such Holder (within the meaning of the Securities Act), against all losses, claims, damages, liabilities and out-of-pocket expenses (including, without limitation, reasonable and documented outside attorneys’ fees) resulting from any untrue or alleged untrue statement of material fact contained in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(in the case of a Prospectus, in light of the circumstances in which they were made), except insofar as the same are caused by or contained in any information or affidavit so furnished in writing to the Company by such Holder expressly for use therein.</w:t>
        <w:br/>
        <w:t xml:space="preserve">  4.1.2           In connection with any Registration Statement in which a Holder of Registrable Securities is participating, such Holder shall furnish (or cause to be furnished) to the Company in writing such information and affidavits as the Company reasonably requests for use in connection with any such Registration Statement or Prospectus (the “Holder Information”) and, to the extent permitted by law, shall indemnify the Company, its directors, officers and agents and each person or entity who controls the Company (within the meaning of the Securities Act) against all losses, claims, damages, liabilities and reasonable and documented out-of-pocket expenses (including, without limitation, reasonable and documented outside attorneys’ fees) resulting from any untrue or alleged untrue statement of material fact contained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(in the case of a Prospectus, in light of the circumstances in which they were made), but only to the extent that such untrue statement is contained in (or not contained in, in the case of an omission) any information or affidavit so furnished in writing by or on behalf of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or entity who controls such Underwriters (within the meaning of the Securities Act) to the same extent as provided in the foregoing with respect to indemnification of the Company.</w:t>
        <w:br/>
        <w:t xml:space="preserve">  4.1.3           Any person or entity entitled to indemnification herein shall (i) give prompt written notice to the indemnifying party of any claim with respect to which it seeks indemnification (provided that the failure to give prompt notice shall not impair any person’s or entity’s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(plus one local counsel if necessary in the reasonable judgment of the indemnified party)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 xml:space="preserve">  17</w:t>
        <w:br/>
        <w:t xml:space="preserve">    4.1.4           The indemnification provided for under this Agreement shall remain in full force and effect regardless of any investigation made by or on behalf of the indemnified party or any officer, director or controlling person or entity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4.1.5           If the indemnification provided under Section 4.1 from the indemnifying party is unavailable or insufficient to hold harmless an indemnified party in respect of any losses, claims, damages, liabilities and documented out-of-pocket expenses referred to herein, then the indemnifying party, in lieu of indemnifying the indemnified party, shall contribute to the amount paid or payable by the indemnified party as a result of such losses, claims, damages, liabilities and documented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provided, however, that the liability of any Holder under this 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4.1.1, 4.1.2 and 4.1.3 above, any legal or other fees, charges or out-of-pocket expenses reasonably incurred by such party in connection with any investigation or proceeding. The parties hereto agree that it would not be just and equitable if contribution pursuant to this Section 4.1.5 were determined by pro rata allocation or by any other method of allocation, which does not take account of the equitable considerations referred to in this Section 4.1.5. No person or entity guilty of fraudulent misrepresentation (within the meaning of Section 11(f) of the Securities Act) shall be entitled to contribution pursuant to this Section 4.1.5 from any person or entity who was not guilty of such fraudulent misrepresentation.</w:t>
        <w:br/>
        <w:t xml:space="preserve">  ARTICLE V</w:t>
        <w:br/>
        <w:t>MISCELLANEOUS</w:t>
        <w:br/>
        <w:t xml:space="preserve">  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AERKOMM Inc., Attention: Xxxxx Xxxxxxxxxxx or by e-mail: [•], and, if to any Holder, at such Xxxxxx’s address, electronic mail address or facsimile number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5.1.</w:t>
        <w:br/>
        <w:t xml:space="preserve">  18</w:t>
        <w:br/>
        <w:t xml:space="preserve">    5.2           Assignment; No Third Party Beneficiaries.</w:t>
        <w:br/>
        <w:t xml:space="preserve">  5.2.1           This Agreement and the rights, duties and obligations of the Company hereunder may not be assigned or delegated by the Company in whole or in part.</w:t>
        <w:br/>
        <w:t xml:space="preserve">  5.2.2           Subject to Section 5.2.4 and Section 5.2.5, this Agreement and the rights, duties and obligations of a Holder hereunder may be assigned in whole or in part to such Holder’s Permitted Transferees to which it transfers Registrable Securities; provided that with respect to the Target Holders and the Sponsor, the rights hereunder that are personal to such Holders may not be assigned or delegated in whole or in part, except that (i) each of the Target Holders shall be permitted to transfer its rights hereunder as the Target Holders to one or more affiliates or any direct or indirect partners, members or equity holders of such Target Holder (it being understood that no such transfer shall reduce or multiply any rights of such Target Holder or such transferees) and (ii) the Sponsor shall be permitted to transfer its rights hereunder as the Sponsor to one or more affiliates or any direct or indirect partners, members or equity holders of the Sponsor (including the general and limited partners of the Sponsor), which, for the avoidance of doubt, shall include a transfer of its rights in connection with a distribution of any Registrable Securities held by Sponsor to its members (it being understood that no such transfer shall reduce or multiply any rights of the Sponsor or such transferees).</w:t>
        <w:br/>
        <w:t xml:space="preserve">  5.2.3           This Agreement and the provisions hereof shall be binding upon and shall inure to the benefit of each of the parties and its successors and the permitted assigns of the Holders, which shall include Permitted Transferees.</w:t>
        <w:br/>
        <w:t xml:space="preserve">  5.2.4           This Agreement shall not confer any rights or benefits on any persons or entities that are not parties hereto, other than as expressly set forth in this Agreement and Section 5.</w:t>
        <w:br/>
        <w:t xml:space="preserve">  5.2.5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including the joinder in the form of Exhibit A attached hereto). Any transfer or assignment made other than as provided in this Section 5.2 shall be null and void.</w:t>
        <w:br/>
        <w:t xml:space="preserve">  5.3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5.4           Governing Law; Venue. NOTWITHSTANDING THE PLACE WHERE THIS AGREEMENT MAY BE EXECUTED BY ANY OF THE PARTIES HERETO, THE PARTIES EXPRESSLY AGREE THAT (1) THIS AGREEMENT SHALL BE GOVERNED BY AND CONSTRUED UNDER THE LAWS OF THE STATE OF DELAWARE, WITHOUT GIVING EFFECT TO PRINCIPLES OR RULES OF CONFLICT OF LAWS TO THE EXTENT SUCH PRINCIPLES OR RULES WOULD REQUIRE OR PERMIT THE APPLICATION OF LAWS OF ANOTHER JURISDICTION AND (2) THE VENUE FOR ANY ACTION TAKEN WITH RESPECT TO THIS AGREEMENT SHALL BE ANY STATE OR FEDERAL COURT IN THE STATE OF DELAWARE.</w:t>
        <w:br/>
        <w:t xml:space="preserve">  19</w:t>
        <w:br/>
        <w:t xml:space="preserve">    5.5           TRIAL BY JURY. 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 xml:space="preserve">  5.6           Amendments and Modifications. Upon the written consent of (a) the Company and (b) the Holders of a majority of the total Registrable Securities, compliance with any of the provisions, covenants and conditions set forth in this Agreement may be waived, or any of such provisions, covenants or conditions may be amended or modified; provided, however, that notwithstanding the foregoing, any amendment hereto or waiver hereof shall also require the written consent of the Sponsor so long as the Sponsor and its affiliates hold, in the aggregate, at least five percent (5%) of the outstanding shares of Common Stock of the Company; provided, further, that notwithstanding the foregoing, any amendment hereto or waiver hereof shall also require the written consent of each Target Holder so long as such Target Holder and its respective affiliates hold, in the aggregate, at least five percent (5%) of the outstanding shares of Common Stock of the Company; and provided, further, that any amendment hereto or waiver hereof that adversely affects one Holder, solely in its capacity as a holder of the shares of capital stock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5.7           Other Registration Rights. Other than as provided in the (i) Warrant Agreement, dated as of October 6, 2021, between the Company and Continental Stock Transfer &amp; Trust Company, as warrant agent, (ii) Private Placement Warrants Purchase Agreement, dated as of October 6, 2021, between the Company and the Sponsor, and (iii) the Subscription Agreements (as defined in the Merger Agreement), the Company represents and warrants that no person or entity, other than a Holder of Registrable Securities, has any right to require the Company to register any securities of the Company for sale or to include such securities of the Company in any Registration Statement filed by the Company for the sale of securities for its own account or for the account of any other person or entity. The Company hereby agrees and covenants that it will not grant rights to register any Common Stock (or securities convertible into or exchangeable for Common Stock) pursuant to the Securities Act that are more favorable, pari passu or senior to those granted to the Holders hereunder without (a) the prior written consent of (i) the Sponsor, for so long as the Sponsor and its affiliates hold, in the aggregate, at least five percent (5%) of the outstanding shares of Common Stock of the Company, and (ii) a Target Holder, for so long as such Target Holder and its affiliates hold, in the aggregate, at least five percent (5%) of the outstanding shares of Common Stock of the Company; or (b) granting economically and legally equivalent rights to the Holders hereunder such that the Holders shall receive the benefit of such more favorable or senior terms and/or conditions.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20</w:t>
        <w:br/>
        <w:t xml:space="preserve">    5.8           Term. This Agreement shall terminate on the earlier of (a) the fifth (5th) anniversary of the date of this Agreement and (b) with respect to any Holder, on the date that such Holder no longer holds any Registrable Securities. The provisions of Section 3.5 and Article IV shall survive any termination.</w:t>
        <w:br/>
        <w:t xml:space="preserve">  5.9           Holder Information. Each Holder agrees, if requested in writing, to represent to the Company the total number of Registrable Securities held by such Xxxxxx in order for the Company to make determinations hereunder.</w:t>
        <w:br/>
        <w:t xml:space="preserve">  5.10           Additional Holders; Joinder. In addition to persons or entities who may become Holders pursuant to Section 5.2 hereof, subject to the prior written consent of each of the Sponsor (so long as the Sponsor and its affiliates hold, in the aggregate, at least five percent (5%) of the outstanding shares of Common Stock of the Company) and each Target Holder (so long as such Target Holder and its respective affiliates hold, in the aggregate, at least five percent (5%) of the outstanding shares of Common Stock of the Company), the Company may make any person or entity who acquires Common Stock or rights to acquire Common Stock after the date hereof a party to this Agreement (each such person or entity, an “Additional Holder”) by obtaining an executed joinder to this Agreement from such Additional Holder in the form of Exhibit A attached hereto (a “Joinder”). Such Joinder shall specify the rights and obligations of the applicable Additional Holder under this Agreement. Upon the execution and delivery and subject to the terms of a Joinder by such Additional Holder, the Common Stock then owned, or underlying any rights then owned, by such Additional Holder (the “Additional Holder Common Stock”) shall be Registrable Securities to the extent provided herein and therein and such Additional Holder shall be a Holder under this Agreement with respect to such Additional Holder Common Stock.</w:t>
        <w:br/>
        <w:t xml:space="preserve">  5.11           Severability. It is the desire and intent of the parties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for any reason, such provision, as to such jurisdiction, shall be ineffective, without invalidating the remaining provisions of this Agreement or affecting the validity or enforceability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5.12           Entire Agreement; Restatement. This Agreement constitutes the full and entire agreement and understanding between the parties with respect to the subject matter hereof and supersedes all prior agreements and understandings relating to such subject matter. Upon the Closing, the Original RRA shall no longer be of any force or effect.</w:t>
        <w:br/>
        <w:t xml:space="preserve">  [SIGNATURE PAGES FOLLOW]</w:t>
        <w:br/>
        <w:t xml:space="preserve">  21</w:t>
        <w:br/>
        <w:t xml:space="preserve">    IN WITNESS WHEREOF, the undersigned have caused this Agreement to be executed as of the date first written above.</w:t>
        <w:br/>
        <w:t xml:space="preserve">  COMPANY:  </w:t>
        <w:br/>
        <w:t xml:space="preserve">      AERKOMM INC.  </w:t>
        <w:br/>
        <w:t xml:space="preserve">      By:    </w:t>
        <w:br/>
        <w:t xml:space="preserve">  Name:  </w:t>
        <w:br/>
        <w:t xml:space="preserve">  Title:  </w:t>
        <w:br/>
        <w:t xml:space="preserve">      HOLDERS:  </w:t>
        <w:br/>
        <w:t xml:space="preserve">      IX ACQUISITION SPONSOR LLC  </w:t>
        <w:br/>
        <w:t xml:space="preserve">      By:    </w:t>
        <w:br/>
        <w:t xml:space="preserve">  Name:  </w:t>
        <w:br/>
        <w:t xml:space="preserve">  Title:  </w:t>
        <w:br/>
        <w:t xml:space="preserve">      [Entity Target Holders]</w:t>
        <w:br/>
        <w:t>a [•]</w:t>
        <w:br/>
        <w:t xml:space="preserve">      By:    </w:t>
        <w:br/>
        <w:t xml:space="preserve">  Name:  </w:t>
        <w:br/>
        <w:t xml:space="preserve">  Title:  </w:t>
        <w:br/>
        <w:t xml:space="preserve">        [Individual Target Holders]  </w:t>
        <w:br/>
        <w:t xml:space="preserve">  [Signature Page to Amended and Restated Registration Rights Agreement]</w:t>
        <w:br/>
        <w:t xml:space="preserve">      Schedule 1</w:t>
        <w:br/>
        <w:t xml:space="preserve">  Target Holders</w:t>
        <w:br/>
        <w:t xml:space="preserve">      Exhibit A</w:t>
        <w:br/>
        <w:t xml:space="preserve">  REGISTRATION RIGHTS AGREEMENT JOINDER</w:t>
        <w:br/>
        <w:t xml:space="preserve">  The undersigned is executing and delivering this joinder (this “Joinder”) pursuant to the Amended and Restated Registration Rights Agreement, dated as of [•] (as the same may hereafter be amended, the “Registration Rights Agreement”), among AERKOMM Inc., a Nevada corporation (the “Company”), and the other persons or entities named as parties therein. Capitalized terms used but not otherwise defined herein shall have the meanings provided in the Registration Rights Agreement.</w:t>
        <w:br/>
        <w:t xml:space="preserve">  By executing and delivering this Joinder to the Company, and upon acceptance hereof by the Company upon the execution of a counterpart hereof, the undersigned hereby agrees to become a party to, to be bound by, and to comply with the Registration Rights Agreement as a Holder of Registrable Securities in the same manner as if the undersigned were an original signatory to the Registration Rights Agreement, and the undersigned’s shares of Common Stock shall be included as Registrable Securities under the Registration Rights Agreement to the extent provided therein.</w:t>
        <w:br/>
        <w:t xml:space="preserve">  Accordingly, the undersigned has executed and delivered this Joinder as of the __________ day of __________, 20__.</w:t>
        <w:br/>
        <w:t xml:space="preserve">      Signature of Stockholder  </w:t>
        <w:br/>
        <w:t xml:space="preserve">        Print Name of Stockholder  </w:t>
        <w:br/>
        <w:t xml:space="preserve">Its:  </w:t>
        <w:br/>
        <w:t xml:space="preserve">    Address:   </w:t>
        <w:br/>
        <w:t xml:space="preserve">          Agreed and Accepted as of      </w:t>
        <w:br/>
        <w:t>____________, 20____</w:t>
        <w:br/>
        <w:t xml:space="preserve">  AERKOMM INC.</w:t>
        <w:br/>
        <w:t xml:space="preserve">      By:   </w:t>
        <w:br/>
        <w:t xml:space="preserve">Name:  </w:t>
        <w:br/>
        <w:t>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