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10.4</w:t>
        <w:br/>
        <w:t>EXECUTION VERSION</w:t>
        <w:br/>
        <w:t>AMENDED AND RESTATED</w:t>
        <w:br/>
        <w:t>REGISTRATION RIGHTS AGREEMENT</w:t>
        <w:br/>
        <w:t>THIS AMENDED AND RESTATED REGISTRATION RIGHTS AGREEMENT (this “Agreement”), dated as of September 6, 2023, is made and entered into by and among:</w:t>
        <w:br/>
        <w:t>(i) Xxxxxxxx Acquisition Corp. (“AAC”); and</w:t>
        <w:br/>
        <w:t>(ii) certain equityholders of AAC as set forth on Schedule A hereto, other transferees of such equityholders who have entered into joinders with respect to the Original RRA (as defied below) and any transferee of such persons who becomes a party to this Agreement pursuant to Section 5.2 of this Agreement (the “Sponsor Equityholders”); and</w:t>
        <w:br/>
        <w:t>(iii) certain equityholders of Xxxxxx Computing, Inc., a Delaware corporation (“Legacy Xxxxxx”), as set forth on Schedule B hereto and any transferee of such persons who becomes a party to this Agreement pursuant to Section 5.2 of this Agreement (collectively, the “Xxxxxx Equityholders” and, together with the Sponsor Equityholders, a “Holder” and collectively the “Holders”).</w:t>
        <w:br/>
        <w:t>RECITALS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