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REGISTRATION RIGHTS AGREEMENT</w:t>
        <w:br/>
        <w:t>THIS REGISTRATION RIGHTS AGREEMENT (this “Agreement”) is entered into as of May 15, 2024, by and among Lazydays Holdings, Inc., a Delaware corporation (including any successor entity thereto, “Company”), and the undersigned parties listed under Investors on the signature page hereto (each an “Investor” and collectively, the “Investors”).</w:t>
        <w:br/>
        <w:br/>
        <w:t>WHEREAS, Company and each of the other loan parties thereto are entering into that certain First Amendment to Loan Agreement, dated as of the date of this Agreement (the “First Amendment to Loan Agreement”);</w:t>
        <w:br/>
        <w:br/>
        <w:t>WHEREAS, in connection with the entering into of the First Amendment to Loan Agreement, Company is issuing to the Investors warrants to purchase shares of Common Stock of Company (the “Warrants”); and</w:t>
        <w:br/>
        <w:br/>
        <w:t>WHEREAS, this Agreement shall be in addition to the existing (i) Registration Rights Agreement, dated March 15, 2018, between Company and each of the several purchasers thereto and (ii) Registration Rights Agreement, dated March 15, 2018, between Company and each of the several purchasers thereto (together (i) and (ii), the “Existing Agreements”), to provide the Investors with certain rights relating to the registration of the Warrants, shares of Common Stock issuable upon exercise of the Warrants (the “Warrant Shares”) and the other Registrable Securities (as defined below).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