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 xml:space="preserve">  AMENDED AND RESTATED REGISTRATION RIGHTS AGREEMENT</w:t>
        <w:br/>
        <w:t xml:space="preserve">  THIS AMENDED AND RESTATED REGISTRATION RIGHTS AGREEMENT (this “Agreement”), dated as of February 7, 2024 is made and entered into by and among, (i) Aurora Technology Acquisition Corp., a Delaware corporation (formerly a Cayman Islands exempted company) (the “Company”), (ii) ATAC Sponsor LLC, a Delaware limited liability company, the sponsor of the Company (the “Sponsor”), (iii) Maxim Group LLC (the “Representative”), (iv) the Sponsor equityholders as set forth on Exhibit A hereto (the “Sponsor Equityholders”), (v) certain equityholders designated on Exhibit B hereto (the “Eligible Equityholders”) and (vi) any other parties listed on the signature pages hereto and any other person or entity who hereafter becomes a party to this Agreement pursuant to Section 6.2 of this Agreement, (each of the Sponsor, Representative, Sponsor Equityholders, Eligible Equityholders, and such other parties listed on the signature page hereto or become a party to this Agreement, individually a “Holder”, and collectively the “Holders”). Capitalized terms used but not otherwise defined in this Agreement shall have the meanings ascribed to such terms in the BCA (as defined below).</w:t>
        <w:br/>
        <w:t xml:space="preserve">  RECITALS</w:t>
        <w:br/>
        <w:t xml:space="preserve">  WHEREAS, the Company, certain Holders and the Sponsor are parties to that certain Registration Rights Agreement, dated as of February 7, 2022 (the “Prior Agreement”);</w:t>
        <w:br/>
        <w:t xml:space="preserve">  WHEREAS, the Company, Aurora Technology Merger Sub Corp., a Nevada corporation (“Merger Sub”), and DIH Holding US, Inc., a Nevada corporation (“DIH”) are party to that certain Business Combination Agreement, dated as of February 26, 2023 (as amended or restated from time to time, the “BCA”), pursuant to which, on the date hereof, Merger Sub merged (the “Merger”) with and into DIH, with DIH surviving the Merger as a wholly owned subsidiary of the Company;</w:t>
        <w:br/>
        <w:t xml:space="preserve">  WHEREAS, pursuant to Section 5.5 of the Prior Agreement, no amendment, modification or termination of the Prior Agreement shall be binding upon any party unless executed in writing by such party;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