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REGISTRATION RIGHTS AGREEMENT</w:t>
        <w:br/>
        <w:t xml:space="preserve">  This Registration Rights Agreement (this “Agreement”) is made and entered into and effective as of February 9, 2024 by and among AtlasClear Holdings, Inc. (f/k/a Calculator New Pubco, Inc.), a Delaware corporation (the “Company”), and Chardan Capital Markets, LLC (the “Holder”). Any capitalized term used but not defined herein will have the meaning ascribed to such term in the Note (as defined below).</w:t>
        <w:br/>
        <w:t xml:space="preserve">  RECITALS</w:t>
        <w:br/>
        <w:t xml:space="preserve">  WHEREAS, the Company is party to that certain Convertible Promissory Note, dated as of the date hereof (the “Note”) and payable to the Holder;</w:t>
        <w:br/>
        <w:t xml:space="preserve">  WHEREAS, the Note gives the Holder the right to convert the Note into shares of the Company’s Common Stock at a conversion ratio and on terms as set forth therein; and</w:t>
        <w:br/>
        <w:t xml:space="preserve">  WHEREAS, in connection with the Note, the Company and the Holder desire to enter into this Agreement, pursuant to which the Company shall grant the Holder certain registration rights with respect to certain securities of the Company, as set forth in this Agreement.</w:t>
        <w:br/>
        <w:t xml:space="preserve">  NOW, THEREFORE, in consideration of the mutual covenants and agreements contained herein, the parties agree as follows:</w:t>
        <w:br/>
        <w:t xml:space="preserve">  ARTICLE I</w:t>
        <w:br/>
        <w:t>DEFINITIONS</w:t>
        <w:br/>
        <w:t xml:space="preserve">  Section 1.1 Definitions. For purposes of this Agreement, the following terms and variations thereof have the meanings set forth below:</w:t>
        <w:br/>
        <w:t xml:space="preserve">  “Adverse Disclosure” shall mean any public disclosure of material non-public information, which disclosure, in the good faith judgment of the Chief Executive Officer or Chief Financial Officer of the Company, after consultation with outside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br/>
        <w:t xml:space="preserve">  “Agreement” shall have the meaning given in the Preamble.</w:t>
        <w:br/>
        <w:t xml:space="preserve">  “Board” shall mean the Board of Directors of the Company.</w:t>
        <w:br/>
        <w:t xml:space="preserve">  “Business Day” means a day other than Saturday, Sunday or other day on which commercial banks in New York, New York are authorized or required by law to close.</w:t>
        <w:br/>
        <w:t xml:space="preserve">  “Change in Control” means the transfer (whether by tender offer, merger, stock purchase, consolidation or other similar transaction), in one transaction or a series of related transactions, to a person or group of affiliated persons of the Company’s voting securities if, after such transfer, such person or group of affiliated persons would hold more than 50% of outstanding voting securities of the Company (or surviving entity) or would otherwise have the power to control the Board or to direct the operations of the Company.</w:t>
        <w:br/>
        <w:t xml:space="preserve">  “Commission” shall mean the Securities and Exchange Commission.</w:t>
        <w:br/>
        <w:t xml:space="preserve">  “Common Stock” shall mean the Company’s common stock, par value $0.0001 per share.</w:t>
        <w:br/>
        <w:t xml:space="preserve">  “Company” shall have the meaning given in the Preamble.</w:t>
        <w:br/>
        <w:t xml:space="preserve">  “Company Shelf Takedown Notice” shall have the meaning given in subsection 2.1.4.</w:t>
        <w:br/>
        <w:t xml:space="preserve">        “Demand Registration” shall have the meaning given in subsection 2.2.1.</w:t>
        <w:br/>
        <w:t xml:space="preserve">  “Demand Requesting Holder” shall have the meaning given in subsection 2.2.1.</w:t>
        <w:br/>
        <w:t xml:space="preserve">  “Effectiveness Deadline” shall have the meaning given in subsection 2.1.1.</w:t>
        <w:br/>
        <w:t xml:space="preserve">  “Exchange Act” shall mean the Securities Exchange Act of 1934, as it may be amended from time to time.</w:t>
        <w:br/>
        <w:t xml:space="preserve">  “Form S-1” means a Registration Statement on Form S-1.</w:t>
        <w:br/>
        <w:t xml:space="preserve">  “Form S-3” means a Registration Statement on Form S-3.</w:t>
        <w:br/>
        <w:t xml:space="preserve">  “Holder” shall have the meaning given in the Preamble.</w:t>
        <w:br/>
        <w:t xml:space="preserve">  “Maximum Number of Securities” shall have the meaning given in subsection 2.2.4.</w:t>
        <w:br/>
        <w:t xml:space="preserve">  “Minimum Amount” shall have the meaning given in subsection 2.1.4.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light of the circumstances under which they were made not misleading.</w:t>
        <w:br/>
        <w:t xml:space="preserve">  “New Registration Statement” shall have the meaning given in subsection 2.1.5.</w:t>
        <w:br/>
        <w:t xml:space="preserve">  “Note” shall have the meaning given in the Recitals hereto.</w:t>
        <w:br/>
        <w:t xml:space="preserve">  “Piggyback Registration” shall have the meaning given in subsection 2.3.1.</w:t>
        <w:br/>
        <w:t xml:space="preserve">  “Pro Rata” shall have the meaning given in subsection 2.2.4.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or “Registrable Securities” shall mean any outstanding share of Common Stock or any other equity security (including the shares of Common Stock issued or issuable upon the exercise of any other equity security or the conversion of the Note) of the Company held by a Holder as of the date hereof, and any other equity security of the Company issued or issuable with respect to any such security described above by way of a stock dividend or stock split or in connection with a combination of shares, recapitalization, merger, consolidation or reorganization;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and subsequent public distribution of such securities shall not require registration under the Securities Act; (C) such securities shall have ceased to be outstanding; (D) such securities may be sold without registration pursuant to Rule 144 promulgated under the Securities Act (or any successor rule promulgated thereafter by the Commission) (but with no volume or other restrictions or limitations); or (E) such securities have been sold to, or through, a broker, dealer or underwriter in a public distribution or other public securities transaction.</w:t>
        <w:br/>
        <w:t xml:space="preserve">  “Registration” shall mean a registration effected by preparing and filing a Registration Statement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Common Stock is then listed;</w:t>
        <w:br/>
        <w:t xml:space="preserve">  (B) fees and expenses of compliance with securities or blue sky laws (including reasonable and documented fees and disbursements of counsel for the Underwriters in connection with blue sky qualifications of Registrable Securities);</w:t>
        <w:br/>
        <w:t xml:space="preserve">  (C) printing, messenger, telephone and delivery expenses;</w:t>
        <w:br/>
        <w:t xml:space="preserve">  (D) reasonable and documented fees and disbursements of counsel for the Company;</w:t>
        <w:br/>
        <w:t xml:space="preserve">  (E) reasonable and documented fees and disbursements of all independent registered public accountants of the Company incurred specifically in connection with such Registration; and</w:t>
        <w:br/>
        <w:t xml:space="preserve">  (F) reasonable and documented fees and expenses of one (1) legal counsel selected by (i) the majority-in-interest of the Demanding Holders initiating a Demand Registration to be registered for offer and sale in the applicable Registration, (ii) the majority-in-interest of the Demanding Holders initiating a Shelf Underwritten Offering, or (iii) the majority-in-interest of participating Holders under Section 2.1 if the Registration was initiated by the Company for its own account or that of a Company stockholder other than pursuant to rights under this Agreement, in each case to be registered for offer and sale in the applicable Registration.</w:t>
        <w:br/>
        <w:t xml:space="preserve">  “Registration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“Resale Shelf Registration Statement” shall have the meaning given in subsection 2.1.1.</w:t>
        <w:br/>
        <w:t xml:space="preserve">  “Securities Act” shall mean the Securities Act of 1933, as amended from time to time.</w:t>
        <w:br/>
        <w:t xml:space="preserve">  “SEC Guidance” shall have the meaning given in subsection 2.1.5.</w:t>
        <w:br/>
        <w:t xml:space="preserve">  “Shelf Takedown Notice” shall have the meaning given in subsection 2.1.4.</w:t>
        <w:br/>
        <w:t xml:space="preserve">  “Shelf Underwritten Offering” shall have the meaning given in subsection 2.1.4.</w:t>
        <w:br/>
        <w:t xml:space="preserve">  “Transfer” means to, directly or indirectly, sell, transfer, assign, pledge, encumber, hypothecate or similarly dispose of, either voluntarily or involuntarily, or to enter into any contract, option or other arrangement or understanding with respect to the sale, transfer, assignment, pledge, encumbrance, hypothecation or similar disposition of, any interest owned by a person or any interest (including a beneficial interest) in, or the ownership, control or possession of, any interest owned by a person.</w:t>
        <w:br/>
        <w:t xml:space="preserve">  “Underwriter” shall mean a securities dealer who purchases any Registrable Securities as principal in an Underwritten Offering and not as part of such dealer’s market-making activities.</w:t>
        <w:br/>
        <w:t xml:space="preserve">  “Underwritten Registration” or “Underwritten Offering” shall mean a Registration in which securities of the Company are sold to an Underwriter in a firm commitment underwriting for distribution to the public.</w:t>
        <w:br/>
        <w:t xml:space="preserve">        ARTICLE II</w:t>
        <w:br/>
        <w:t>REGISTRATION</w:t>
        <w:br/>
        <w:t xml:space="preserve">  Section 2.1 Resale Shelf Registration Rights</w:t>
        <w:br/>
        <w:t xml:space="preserve">  2.1.1 Registration Statement Covering Resale of Registrable Securities. The Company shall prepare and file or cause to be prepared and filed with the Commission, no later than forty-five (45) days following the date hereof (or such sooner date on which the Company files a registration statement for any outstanding securities of the Company), a Registration Statement to permit the public resale of all the Registrable Securities held by the Holder from time to time as permitted by Rule 415 of the Securities Act or any successor thereto on the terms and conditions specified in this subsection 2.1.1 (the “Resale Shelf Registration Statement”). The Resale Shelf Registration Statement shall be on Form S-1 (or such other form of registration statement as is then available to permit Registration of such Registrable Securities for resale). The Company shall use reasonable best efforts to cause the Resale Shelf Registration Statement to be declared effective as soon as possible after filing, but in no event later than thirty (30) days following the filing deadline specified in the first sentence of this subsection 2.1.1 (the “Effectiveness Deadline”); provided, that the Effectiveness Deadline shall be extended to ninety (90) days after the filing deadline specified in the first sentence of this subsection 2.1.1 (but in no event beyond one hundred twenty (120) days of the date hereof) if the Registration Statement is reviewed by, and receives comments from, the Commission. Once effective, the Company shall use reasonable best efforts to cause the Resale Shelf Registration Statement to remain effective and to be supplemented and amended to the extent necessary to ensure that such Registration Statement is available or, if not available, to ensure that another Registration Statement is available, under the Securities Act at all times until all Registrable Securities have been disposed of in accordance with the intended method(s) of distribution set forth in such Registration Statement or have ceased to be Registrable Securities. The Registration Statement filed with the Commission pursuant to this subsection 2.1.1 shall contain a prospectus in such form as to permit any Holder to sell such Registrable Securities pursuant to Rule 415 under the Securities Act (or any successor or similar provision adopted by the Commission then in effect) at any time beginning on the effective date for such Registration Statement, and shall provide that such Registrable Securities may be sold pursuant to any method or combination of methods legally available to, and requested by, Holder. The Company shall use reasonable best efforts to convert the Resale Shelf Registration Statement on Form S-1 to a Resale Shelf Registration Statement on Form S-3 as promptly as practicable after the Company is eligible to use a Resale Shelf Registration Statement on Form S-3 and have the Resale Shelf Registration Statement on Form S-3 declared effective as promptly as practicable and to cause such Resale Shelf Registration Statement on Form S-3 to remain effective, and to be supplemented and amended to the extent necessary to ensure that such Registration Statement is available or, if not available, to ensure that another Registration Statement is available, under the Securities Act at all times until all Registrable Securities have been disposed of in accordance with the intended method(s) of distribution set forth in such Registration Statement or have ceased to be Registrable Securities.</w:t>
        <w:br/>
        <w:t xml:space="preserve">  2.1.2 Notification and Distribution of Materials. The Company shall notify the Holder in writing of the effectiveness of the Resale Shelf Registration Statement as soon as practicable, and in any event within one (1) Business Day after the Resale Shelf Registration Statement becomes effective, and shall furnish to them, without charge, such number of copies of the Resale Shelf Registration Statement (including any amendments, supplements and exhibits), the Prospectus contained therein (including each preliminary prospectus and all related amendments and supplements) and any documents incorporated by reference in the Resale Shelf Registration Statement or such other documents as the Holder may reasonably request in order to facilitate the sale of the Registrable Securities in the manner described in the Resale Shelf Registration Statement.</w:t>
        <w:br/>
        <w:t xml:space="preserve">  2.1.3 Amendments and Supplements. Subject to the provisions of Section 2.1.1 above, the Company shall promptly prepare and file with the Commission from time to time such amendments and supplements to the Resale Shelf Registration Statement and Prospectus used in connection therewith as may be necessary to keep the Resale Shelf Registration Statement effective and to comply with the provisions of the Securities Act with respect to the disposition of all the Registrable Securities. If any Resale Shelf Registration Statement filed pursuant to Section 2.1.1 is filed on Form S-3 and thereafter the Company becomes ineligible to use Form S-3 for secondary sales, the Company shall promptly notify the Holder of such ineligibility and use its reasonable best efforts to file a shelf registration on an appropriate form as promptly as practicable to replace the shelf registration statement on Form S-3 and have such replacement Resale Shelf Registration Statement declared effective as promptly as practicable and to cause such replacement Resale Shelf Registration Statement to remain effective, and to be supplemented and amended to the extent necessary to ensure that such Resale Shelf Registration Statement is available or, if not available, that another Resale Shelf Registration Statement is available, for the resale of all the Registrable Securities held by the Holder until all such Registrable Securities have ceased to be Registrable Securities; provided, however, that at any time the Company once again becomes eligible to use Form S-3, the Company shall cause such replacement Resale Shelf Registration Statement to be amended, or shall file a new replacement Resale Shelf Registration Statement, such that the Resale Shelf Registration Statement is once again on Form S-3.</w:t>
        <w:br/>
        <w:t xml:space="preserve">        2.1.4 At any time and from time to time following the effectiveness of the shelf registration statement required by subsection 2.1.1 or subsection 2.1.2, the Holder may request to sell all or a portion of their Registrable Securities in an underwritten offering that is registered pursuant to such shelf registration statement (a “Shelf Underwritten Offering”); provided that the Holder reasonably expects to sell Registrable Securities yielding aggregate gross proceeds in excess of $15,000,000 from such Shelf Underwritten Offering (such amount of Registrable Securities, as applicable, the “Minimum Amount”). All requests for a Shelf Underwritten Offering shall be made by giving written notice to the Company (the “Shelf Takedown Notice”). Each Shelf Takedown Notice shall specify the approximate number of Registrable Securities proposed to be sold in the Shelf Underwritten Offering and the expected price range (net of underwriting discounts and commissions) of such Shelf Underwritten Offering. The Company shall, together with the Holder, enter into an underwriting agreement in customary form for such Shelf Underwritten Offering with the managing Underwriter or Underwriters selected by the Holder after consultation with the Company and shall take all such other reasonable actions as are reasonably requested by the managing Underwriter or Underwriters in order to facilitate the disposition of such Registrable Securities. In connection with any Shelf Underwritten Offering contemplated by this subsection 2.1.4, subject to Section 3.3 and Article IV, the underwriting agreement into which the Holder and the Company shall enter shall contain representations, covenants, indemnities and other rights and obligations in customary form for such Shelf Underwritten Offering by the Company.</w:t>
        <w:br/>
        <w:t xml:space="preserve">  2.1.5 Notwithstanding the registration obligations set forth in this Section 2.1, in the event the Commission informs the Company that all of the Registrable Securities cannot, as a result of the application of Rule 415, be registered for resale as a secondary offering on a single Registration Statement, the Company agrees to promptly (i) inform the Holder and use its reasonable best efforts to file amendments to the Resale Shelf Registration Statement as required by the Commission and/or (ii) withdraw the Resale Shelf Registration Statement and file a new registration statement (a “New Registration Statement”) on Form S-1 (or such other form of registration statement as is then available to permit Registration of such Registrable Securities for resale); provided, however, that prior to filing such amendment or New Registration Statement, the Company shall use its reasonable best efforts to advocate with the Commission for the registration of all of the Registrable Securities in accordance with any publicly-available written or oral guidance, comments, requirements or requests of the Commission staff (the “SEC Guidance”). Notwithstanding any other provision of this Agreement, if any SEC Guidance sets forth a limitation of the number of Registrable Securities permitted to be registered on a particular Registration Statement as a secondary offering (and notwithstanding that the Company used its reasonable best efforts to advocate with the Commission for the registration of all or a greater number of Registrable Securities), unless otherwise directed in writing by the Holder as to its Registrable Securities, the number of Registrable Securities to be registered on such Registration Statement will be reduced, subject to a determination by the Commission that certain Holder must be reduced first based on the number of Registrable Securities held by such Holder. In the event the Company amends the Resale Shelf Registration Statement or files a New Registration Statement, as the case may be, under clause (i) or (ii) above, the Company will use its reasonable best efforts to file with the Commission, as promptly as allowed by Commission or SEC Guidance provided to the Company or to registrants of securities in general, one or more registration statements on Form S-1 or such other form available to register for resale those Registrable Securities that were not registered for resale on the Resale Shelf Registration Statement, as amended, or the New Registration Statement.</w:t>
        <w:br/>
        <w:t xml:space="preserve">  2.1.6 Registrations effected pursuant to this Section 2.1 shall not be counted as Demand Registrations effected pursuant to Section 2.2.</w:t>
        <w:br/>
        <w:t xml:space="preserve">  2.1.7 In the event that no Resale Shelf Registration Statement is filed within forty-five days following the date hereof pursuant to this section 2.1, then the Company shall increase the interest on the Note Agreement by 2.0% each week after such date that such Resale Shelf Registration Statement is not filed, until the date of such filing. Such increase shall also apply for each week after the Effectiveness Deadline when a Resale Shelf Registration Statement has not been declared effective, until the date of effectiveness, or during any period after which the effectiveness of such Resale Shelf Registration Statement is suspended or terminated for at least 15 days, other than in accordance with this Agreement.</w:t>
        <w:br/>
        <w:t xml:space="preserve">  Section 2.2 Demand Registration.</w:t>
        <w:br/>
        <w:t xml:space="preserve">  2.2.1 Request for Registration.  Subject to the provisions of subsection 2.2.4 and Section 2.4 hereof and provided that the Company does not have an effective Registration Statement pursuant to subsection 2.1.1 or subsection 2.1.2 covering Registrable Securities, at any time and from time to time on or after the Effectiveness Deadline, the Holder may make a written demand for Registration of all or part of their Registrable Securities on Form S-1 (or such other form of registration statement as is then available to permit Registration of such Registrable Securities for resale by the Holder), which written demand shall describe the amount and type of securities to be included in such Registration and the intended method(s) of distribution thereof (such written demand, a “Demand Registration”).  Upon receipt by the Company of such demand, the Company shall (i) file a Registration Statement in respect of all Registrable Securities requested by the Holder pursuant to such Demand Registration, not more than forty five (45) days immediately after the Company’s receipt of the Demand Registration, and (ii) effect the Registration thereunder as soon thereafter as practicable.  Under no circumstances shall the Company be obligated to effect more than an aggregate of five (5) Demand Registrations under this subsection 2.2.1.</w:t>
        <w:br/>
        <w:t xml:space="preserve">        2.2.2 Effective Registration.  Notwithstanding the provisions of subsection 2.2.1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the Holder thereafter affirmatively elect to continue with such Registration and accordingly notify the Company in writing, but in no event later than five (5) days after such stop order or injunction is removed, rescinded or otherwise terminated, of such election;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 xml:space="preserve">  2.2.3 Underwritten Offering.  Subject to the provisions of subsection 2.2.4 and Section 2.4 hereof, if the Holder advises the Company as part of their Demand Registration that the offering of the Registrable Securities pursuant to such Demand Registration shall be in the form of an Underwritten Offering, then the right of the Holder to include its Registrable Securities in such Registration shall be conditioned upon such Holder’s participation in such Underwritten Offering and the inclusion of such Holder’s Registrable Securities in such Underwritten Offering to the extent provided herein.  The Holder proposing to distribute their Registrable Securities through an Underwritten Offering under this subsection 2.2.3 shall enter into an underwriting agreement in customary form with the Underwriter(s) selected for such Underwritten Offering by the Holder.</w:t>
        <w:br/>
        <w:t xml:space="preserve">  2.2.4 Reduction of Underwritten Offering.  If the managing Underwriter or Underwriters in an Underwritten Registration pursuant to a Demand Registration, in good faith, advises the Company and the Holder in writing that the dollar amount or number of Registrable Securities that the Holder desire to sell, taken together with all other Common Stock or other equity securities that the Company desires to sell and the Common Stock,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Holder that can be sold without exceeding the Maximum Number of Securities; (ii) second, to the extent that the Maximum Number of Securities has not been reached under the foregoing clause (i), Common Stock or other equity securities that the Company desires to sell, which can be sold without exceeding the Maximum Number of Securities; and (iii) third, to the extent that the Maximum Number of Securities has not been reached under the foregoing clauses (i) and (ii),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2.2.5 Demand Registration Withdrawal.  The Holder, pursuant to a Registration under subsection 2.2.1, shall have the right to withdraw from a Registration pursuant to such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  If the Holder withdraws from a proposed offering pursuant to this Section 2.2.5, then such registration shall not count as a Demand Registration provided for in Section 2.2. Notwithstanding anything to the contrary in this Agreement, the Company shall be responsible for the Registration Expenses incurred in connection with a Registration pursuant to a Demand Registration prior to its withdrawal under this subsection 2.2.5.</w:t>
        <w:br/>
        <w:t xml:space="preserve">        Section 2.3 Piggyback Registration.</w:t>
        <w:br/>
        <w:t xml:space="preserve">  2.3.1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(iv) for a dividend reinvestment plan, or (v) filed in connection with any business combination or acquisition involving the Company, then the Company shall give written notice of such proposed filing to the Holder as soon as practicable but not less than ten (10)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(5) days after receipt of such written notice (such Registration a “Piggyback Registration”).  The Company shall, in good faith, cause such Registrable Securities to be included in such Piggyback Registration and shall use its reasonable best efforts to cause the managing Underwriter or Underwriters of a proposed Underwritten Offering to permit the Registrable Securities requested by the Holder pursuant to this subsection 2.3.1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If the Holder proposes to distribute their Registrable Securities through an Underwritten Offering under this subsection 2.3.1, it shall enter into an underwriting agreement in customary form with the Underwriter(s) selected for such Underwritten Offering by the Company.</w:t>
        <w:br/>
        <w:t xml:space="preserve">  2.3.2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shares of Common Stock or other equity securities that the Company desires to sell, taken together with (i) the shares of Common Stock or other equity securities, if any, as to which Registration has been demanded pursuant to separate written contractual arrangements with persons or entities other than the Holder, (ii) the Registrable Securities as to which registration has been requested pursuant to this Section 2.3, and (iii) the shares of Common Stock or other equity securities, if any, as to which Registration has been requested pursuant to separate written contractual piggy-back registration rights of other stockholders of the Company, exceeds the Maximum Number of Securities, then:</w:t>
        <w:br/>
        <w:t xml:space="preserve">  (i)            If the Registration is undertaken for the Company’s account, the Company shall include in any such Registration (A) first,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which can be sold without exceeding the Maximum Number of Securities; and (C) third, to the extent that the Maximum Number of Securities has not been reached under the foregoing clauses (A) and (B), Common Stock, if any, as to which Registration has been requested pursuant to written contractual piggy-back registration rights of other stockholders of the Company, which can be sold without exceeding the Maximum Number of Securities; and</w:t>
        <w:br/>
        <w:t xml:space="preserve">  (ii)            If the Registration is pursuant to a request by persons or entities other than the Holder, then the Company shall include in any such Registration (A) first, Common Stock or other equity securities, if any, of such requesting persons or entities, other than the Holder, which can be sold without exceeding the Maximum Number of Securities; (B) second, to the extent that the Maximum Number of Securities has not been reached under the foregoing clause (A), the Registrable Securities of the Holder (if the Holder exercises its rights to register their Registrable Securities pursuant to subsection 2.3.1), which can be sold without exceeding the Maximum Number of Securities; (C) third, to the extent that the Maximum Number of Securities has not been reached under the foregoing clauses (A) and (B), Common Stock or other equity securities that the Company desires to sell, which can be sold without exceeding the Maximum Number of Securities; and (D) fourth, to the extent that the Maximum Number of Securities has not been reached under the foregoing clauses (A), (B) and (C),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2.3.3 Piggyback Registration Withdrawal.  The Holder shall have the right to withdraw from a Piggyback Registration for any or no reason whatsoever upon written notification to the Company and the Underwriter or Underwriters (if any) of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2.3.3.</w:t>
        <w:br/>
        <w:t xml:space="preserve">  2.3.4 Unlimited Piggyback Registration Rights.  For purposes of clarity, any Registration effected pursuant to Section 2.3 hereof shall not be counted as a Registration pursuant to a Demand Registration effected under Section 2.2 hereof.</w:t>
        <w:br/>
        <w:t xml:space="preserve">  Section 2.4 Restrictions on Registration Rights. If (A) during the period starting with the date sixty (60) days prior to the Company’s good faith estimate of the date of the filing of, and ending on a date one hundred and twenty (120) days after the effective date of, the Company initiated Registration and provided that the Company has delivered written notice to the Holder prior to receipt of a Demand Registration pursuant to subsection 2.2.1 and it continues to actively employ, in good faith, all reasonable efforts to cause the applicable Registration Statement to become effective; (B) the Holder have requested an Underwritten Registration and the Company and the Holder is unable to obtain the commitment of underwriters to firmly underwrite the offer; or (C) in the good faith judgment of the Board such Registration would be materially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materially detrimental to the Company for such Registration Statement to be filed in the near future and that it is therefore essential to defer the filing of such Registration Statement.  In such event, the Company shall have the right to defer such filing for a period of not more than thirty (30) days; provided, however, that the Company shall not defer its obligation in this manner more than once in any 12 month period.</w:t>
        <w:br/>
        <w:t xml:space="preserve">  ARTICLE III</w:t>
        <w:br/>
        <w:t>COMPANY PROCEDURES</w:t>
        <w:br/>
        <w:t xml:space="preserve">  Section 3.1 General Procedures. If at any time on or after the Effective Time the Company is required to effect the Registration of Registrable Securities, the Company shall use its reasonable best efforts to effect such Registration to permit the sale of such Registrable Securities in accordance with the intended plan of distribution thereof, and pursuant thereto the Company shall, as expeditiously as possible:</w:t>
        <w:br/>
        <w:t xml:space="preserve">  3.1.1 prepare and file with the Commission as soon as practicable a Registration Statement with respect to such Registrable Securities and use its reasonable best efforts to cause such Registration Statement to become effective and remain effective until all Registrable Securities covered by such Registration Statement have been sold;</w:t>
        <w:br/>
        <w:t xml:space="preserve">  3.1.2 prepare and file with the Commission such amendments and post-effective amendments to the Registration Statement, and such supplements to the Prospectus, as may be reasonably requested by the Holder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 xml:space="preserve">  3.1.3 prior to filing a Registration Statement or Prospectus, or any amendment or supplement thereto, furnish without charge to the Underwriters, if any, and the Holder (if included in such Registration), and the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the Holder may request in order to facilitate the disposition of the Registrable Securities owned by the Holder;</w:t>
        <w:br/>
        <w:t xml:space="preserve">        3.1.4 prior to any public offering of Registrable Securities, use its reasonable best efforts to (i) register or qualify the Registrable Securities covered by the Registration Statement under such securities or “blue sky” laws of such jurisdictions in the United States as the Holder (if included in such Registration Statement (in light of their intended plan of distribution)) may request and (ii) take such action reasonably necessary to cause such Registrable Securities covered by the Registration Statement to be registered with or approved by such other governmental authorities as may be reasonably necessary, following opinion of Company legal counsel, by virtue of the business and operations of the Company and do any and all other acts and things that may be reasonably necessary or advisable, following opinion of Company legal counsel, to enable the Holder (if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cause all such Registrable Securities to be listed on each securities exchange or automated quotation system on which similar securities issued by the Company are then listed;</w:t>
        <w:br/>
        <w:t xml:space="preserve">  3.1.6 provide a transfer agent or warrant agent, as applicable, and registrar for all such Registrable Securities no later than the effective date of such Registration Statement;</w:t>
        <w:br/>
        <w:t xml:space="preserve">  3.1.7 advise each Holder of such Registrable Securities covered by such Registration Statement, promptly after it shall receive notice or obtain knowledge thereof, of the issuance of any stop order by the Commission suspending the effectiveness of such Registration Statement or the initiation or threatening of any proceeding for such purpose and promptly use its reasonable best efforts to prevent the issuance of any stop order or to obtain its withdrawal if such stop order should be issued;</w:t>
        <w:br/>
        <w:t xml:space="preserve">  3.1.8 advise the Holder (if covered by such Registration Statement), promptly after the Company receives notice thereof, of the time when such registration statement has been declared effective or a supplement to any Prospectus forming a part of such registration statement has been filed;</w:t>
        <w:br/>
        <w:t xml:space="preserve">  3.1.9 at least five (5) days prior to the filing of any Registration Statement or Prospectus or any amendment or supplement to such Registration Statement or Prospectus, furnish a copy thereof to the Holder or its counsel;</w:t>
        <w:br/>
        <w:t xml:space="preserve">  3.1.10 notify the Holder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3.1.11 permit a representative of the Holder, the Underwriters, if any, and any attorney or accountant retained by the Holder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 xml:space="preserve">  3.1.12 obtain a “cold comfort” letter from the Company’s independent registered public accountants (and the independent accountant of any other entity whose financial statements are included in (or incorporated by reference in) a Registration Statement) in the event of an Underwritten Registration, in customary form and covering such matters of the type customarily covered by “cold comfort” letters as the managing Underwriter may reasonably request, and reasonably satisfactory to the Holder and such managing Underwriter;</w:t>
        <w:br/>
        <w:t xml:space="preserve">  3.1.13 on the date the Registrable Securities are delivered for sale pursuant to such Registration, obtain an opinion, dated such date, of counsel representing the Company for the purposes of such Registration, addressed to the Holder, the placement agent or sales agent, if any, and the Underwriters, if any, covering such legal matters with respect to the Registration in respect of which such opinion is being given as the Holder, placement agent, sales agent, or Underwriter may reasonably request and as are customarily included in such opinions and negative assurance letters, and reasonably satisfactory the Holder;</w:t>
        <w:br/>
        <w:t xml:space="preserve">        3.1.14 in the event of any Underwritten Offering, enter into and perform its obligations under an underwriting agreement, in usual and customary form, with the managing Underwriter of such offering;</w:t>
        <w:br/>
        <w:t xml:space="preserve">  3.1.15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br/>
        <w:t xml:space="preserve">  3.1.16 if the Registration involves the Registration of Registrable Securities involving gross proceeds in excess of $20,000,000, use its reasonable best efforts to make available senior executives of the Company to participate in customary “road show” presentations that may be reasonably requested by the Underwriter in any Underwritten Offering; and</w:t>
        <w:br/>
        <w:t xml:space="preserve">  3.1.17 otherwise, in good faith, cooperate reasonably with, and take such customary actions as may reasonably be requested by the Holder, in connection with such Registration.</w:t>
        <w:br/>
        <w:t xml:space="preserve">  Section 3.2 Registration Expenses. The Registration Expenses of all Registrations shall be borne by the Company.  It is acknowledged by the Holder that the Holder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w:t>
        <w:br/>
        <w:t xml:space="preserve">  Section 3.3 Requirements for Participation in Underwritten Offerings.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Section 3.4 Suspension of Sales; Adverse Disclosure.  Upon receipt of written notice from the Company that a Registration Statement or Prospectus contains a Misstatement, the Holder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 delay the filing or initial effectiveness of, or suspend use of, such Registration Statement for the shortest period of time, but in no event more than thirty (30) days, determined in good faith by the Company to be necessary for such purpose.  In the event the Company exercises its rights under the preceding sentence, the Holder agrees to suspend, immediately upon their receipt of the notice referred to above, their use of the Prospectus relating to any Registration in connection with any sale or offer to sell Registrable Securities.  The Company shall immediately notify the Holder of the expiration of any period during which it exercised its rights under this Section 3.4.</w:t>
        <w:br/>
        <w:t xml:space="preserve">  Section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 with true and complete copies of all such filings upon request.  The Company further covenants that it shall take such further action as the Holder may reasonably request, all to the extent required from time to time to enable the Holder to sell Registrable Securities held by the Holder without registration under the Securities Act within the limitation of the exemptions provided by Rule 144 promulgated under the Securities Act (or any successor rule promulgated thereafter by the Commission), including providing any legal opinions.  Upon the request of the Holder, the Company shall deliver to the Holder a written certification of a duly authorized officer as to whether it has complied with such requirements.</w:t>
        <w:br/>
        <w:t xml:space="preserve">        Section 3.6 Limitations on Registration Rights. The Company shall not hereafter enter into any agreement with respect to its securities which is inconsistent with or violates the rights granted to the Holder and in the event of any conflict between any such agreement or agreements and this Agreement, the terms of this Agreement shall prevail.</w:t>
        <w:br/>
        <w:t xml:space="preserve">  ARTICLE IV</w:t>
        <w:br/>
        <w:t>INDEMNIFICATION AND CONTRIBUTION</w:t>
        <w:br/>
        <w:t xml:space="preserve">  Section 4.1 Indemnification</w:t>
        <w:br/>
        <w:t xml:space="preserve">  4.1.1 The Company agrees to indemnify, to the extent permitted by law, the Holder, its officers and directors and agents and each person who controls the Holder (within the meaning of the Securities Act) against all losses, claims, damages, liabilities and expenses (including reasonable and documented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the Holder expressly for use therein.</w:t>
        <w:br/>
        <w:t xml:space="preserve">  4.1.2 In connection with any Registration Statement in which the Holder is participating, the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the Holder expressly for use therein; provided, however, that the obligation to indemnify shall be several, not joint and several, among the Holder, and the liability of the Holder shall be in proportion to and limited to the net proceeds received by the Holder from the sale of securities pursuant to such Registration Statement.</w:t>
        <w:br/>
        <w:t xml:space="preserve">  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Registrable Securities.  The Company and the Holder, when participating in an offering, also agree to make such provisions as are reasonably requested by any indemnified party for contribution to such party in the event the Company’s or the Holder’s indemnification is unavailable for any reason.</w:t>
        <w:br/>
        <w:t xml:space="preserve">        4.1.5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the Holder under this subsection 4.1.5 shall be limited to the amount of the net proceeds received by the Holder in such offering giving rise to such liability.  The amount paid or payable by a party as a result of the losses or other liabilities referred to above shall be deemed to include, subject to the limitations set forth in subsections 4.1.1, 4.1.2 and 4.1.3 above, any reasonable and documented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 xml:space="preserve">  ARTICLE V</w:t>
        <w:br/>
        <w:t>GENERAL PROVISIONS</w:t>
        <w:br/>
        <w:t xml:space="preserve">  Section 5.1 Entire Agreement. This Agreement (including Schedule A hereto) constitutes the entire understanding and agreement between the parties as to the matters covered herein and supersedes and replaces any prior understanding, agreement or statement of intent, in each case, written or oral, of any and every nature with respect thereto.</w:t>
        <w:br/>
        <w:t xml:space="preserve">  Section 5.2 Notices. Any notice or other communication required or permitted to be delivered to any party under this Agreement shall be in writing and shall be deemed properly delivered, given and received (a) upon receipt when delivered by hand, (b) upon transmission, if sent by facsimile or electronic transmission (in each case with receipt verified by electronic confirmation), or (c) one (1) Business Day after being sent by courier or express delivery service, specifying next day delivery, with proof of receipt. The addresses, email addresses and facsimile numbers for such notices and communications are those set forth on the signature pages hereof, or such other address, email address or facsimile numbers as may be designated in writing hereafter, in the same manner, by any such person.</w:t>
        <w:br/>
        <w:t xml:space="preserve">  Section 5.3 Assignment; No Third-Party Beneficiaries. This Agreement and the rights, duties and obligations of the Company hereunder may not be assigned or delegated by the Company in whole or in part. This Agreement and the rights, duties and obligations of the Holder may be freely assigned or delegated by the Holder in conjunction with and to the extent of any transfer of Registrable Securities by the Holder. This Agreement and the provisions hereof shall be binding upon and shall inure to the benefit of each of the parties and the permitted assigns of the Holder or of any assignee of the Holder. This Agreement is not intended to confer any rights or benefits on any persons that are not party hereto other than as expressly set forth in Article IV and this Section 6.4. No assignment by any party hereto of such party’s rights, duties and obligations hereunder shall be binding upon or obligate the Company unless and until the Company shall have received (i) written notice of such assignment and (ii) the written agreement of the assignee, in a form reasonably satisfactory to the Company, to be bound by the terms and provisions of this Agreement (which may be accomplished by an addendum or certificate of joinder to this Agreement).</w:t>
        <w:br/>
        <w:t xml:space="preserve">  Section 5.4 Counterparts. This Agreement may be executed in one or more counterparts, all of which shall be considered one and the same agreement and shall become effective when one or more counterparts have been signed by each of the parties and delivered to the other parties, it being understood that all parties need not sign the same counterpart and such counterparts may be delivered by the parties hereto via facsimile or electronic transmission.</w:t>
        <w:br/>
        <w:t xml:space="preserve">  Section 5.5 Amendment; Waiver. This Agreement may be amended or modified, and any provision hereof may be waived, in whole or in part, at any time pursuant to an agreement in writing executed by the Company and the Holder;. Any failure by any party at any time to enforce any of the provisions of this Agreement shall not be construed a waiver of such provision or any other provisions hereof.</w:t>
        <w:br/>
        <w:t xml:space="preserve">        Section 5.6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w:t>
        <w:br/>
        <w:t xml:space="preserve">  Section 5.7 Governing Law; Venue. This Agreement shall be governed by, and construed in accordance with, the laws of the State of Delaware applicable to contracts executed in and to be performed in that State. All legal actions and proceedings arising out of or relating to this Agreement shall be heard and determined exclusively in any Delaware Chancery Court; provided, that if jurisdiction is not then available in the Delaware Chancery Court, then any such legal action may be brought in any federal court located in the State of Delaware or any other Delaware state court. The parties hereto hereby (a) irrevocably submit to the exclusive jurisdiction of the aforesaid courts for themselves and with respect to their respective properties for the purpose of any action arising out of or relating to this Agreement brought by any party hereto, and (b) agree not to commence any action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action in any such court is brought in an inconvenient forum, (ii) the venue of such action is improper or (iii) this Agreement, or the subject matter hereof, may not be enforced in or by such courts.</w:t>
        <w:br/>
        <w:t xml:space="preserve">  Section 5.8 Specific Performance. Each party acknowledges and agrees that the other parties hereto would be irreparably harmed and would not have any adequate remedy at law in the event that any of the provisions of this Agreement were not performed by such first party in accordance with their specific terms or were otherwise breached by such first party. Accordingly, each party agrees that the other parties hereto shall be entitled to an injunction or injunctions to prevent breaches of this Agreement and to enforce specifically the terms and provisions of this Agreement, this being in addition to any other remedy to which such parties are entitled at law or in equity.</w:t>
        <w:br/>
        <w:t xml:space="preserve">  Section 5.9 Term. This Agreement shall terminate (a) with respect to the Holder on the date on which the Holder ceases to hold Registrable Securities and (b) otherwise upon the date as of which all of the Registrable Securities have been sold pursuant to a Registration Statement (but in each case in no event prior to the applicable period referred to in Section 4(a)(3) of the Securities Act and Rule 174 thereunder (or any successor rule promulgated thereafter by the Commission)). The provisions of Article IV shall survive any termination.</w:t>
        <w:br/>
        <w:t xml:space="preserve">  [Signature Page to Follow]</w:t>
        <w:br/>
        <w:t xml:space="preserve">        IN WITNESS WHEREOF, the parties hereto have caused this Registration Rights Agreement to be duly executed by their respective authorized signatories as of the date first indicated above.</w:t>
        <w:br/>
        <w:t xml:space="preserve">    ATLASCLEAR HOLDINGS, INC.</w:t>
        <w:br/>
        <w:t xml:space="preserve">      By /s/ Xxxxx Xxxxxxxxx</w:t>
        <w:br/>
        <w:t xml:space="preserve">  Name: Xxxxx Xxxxxxxxx</w:t>
        <w:br/>
        <w:t xml:space="preserve">  Title: CBDO</w:t>
        <w:br/>
        <w:t xml:space="preserve">      Address for Notice:</w:t>
        <w:br/>
        <w:t xml:space="preserve">      0000 Xxxxxxxxx Xxxx., Xxxxx 000</w:t>
        <w:br/>
        <w:t xml:space="preserve">  Tampa, FL 33629</w:t>
        <w:br/>
        <w:t xml:space="preserve">  Attn: Xxxxx Xxxxxxxxx</w:t>
        <w:br/>
        <w:t xml:space="preserve">  Email: xxxxxxxxxx@xxxxxxxxxx.xxx</w:t>
        <w:br/>
        <w:t xml:space="preserve">      CHARDAN CAPITAL MARKETS, LLC</w:t>
        <w:br/>
        <w:t xml:space="preserve">      By /s/ Xxxxxx Xxxxxx</w:t>
        <w:br/>
        <w:t xml:space="preserve">  Name: Xxxxxx Xxxxxx</w:t>
        <w:br/>
        <w:t xml:space="preserve">  Title: Chief Executive Officer</w:t>
        <w:br/>
        <w:t xml:space="preserve">      Address for Notice:</w:t>
        <w:br/>
        <w:t xml:space="preserve">  00 Xxxxx Xxxxxx, 00xx Floor</w:t>
        <w:br/>
        <w:t xml:space="preserve">  New York, NY 10004</w:t>
        <w:br/>
        <w:t xml:space="preserve">  Attn: Xxxx Xxxxx</w:t>
        <w:br/>
        <w:t xml:space="preserve">  Email: 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