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REGISTRATION RIGHTS AGREEMENT</w:t>
        <w:br/>
        <w:t>THIS REGISTRATION RIGHTS AGREEMENT (this “Agreement”), dated as of February 14, 2024, is made and entered into by and between Sable Offshore Corp. (f/k/a Flame Acquisition Corp.), a Delaware corporation (the “Company”) and the undersigned party listed under Holder on the signature page hereto (the “Holder”).</w:t>
        <w:br/>
        <w:t>RECITALS</w:t>
        <w:br/>
        <w:t>WHEREAS, on October 26, 2022, the Holder was issued 3,000,000 shares representing membership interests in Sable Offshore Holdings LLC, a Delaware limited liability company (“Holdco”), designated as voting Class A shares (the “Holdco Equity”);</w:t>
        <w:br/>
        <w:t>WHEREAS, Xxxxxx entered into that certain Agreement and Plan of Merger (the “Merger Agreement”), dated as of November 2, 2022, with the Company and Sable Offshore Corp., a Texas corporation (“Sable”), pursuant to which (i) Holdco merged with and into the Company, with the Company surviving such merger (the “Holdco Merger,” and the effective time of such merger, the “Holdco Effective Time”) and (ii) immediately following the Holdco Effective Time, Sable merged with and into the Company, with the Company surviving such merger (the “Sable Merger,” and together with the Holdco Merger, the “Mergers”);</w:t>
        <w:br/>
        <w:t>WHEREAS, pursuant to the terms of the Merger Agreement, at the Holdco Effective Time, each share of Holdco Equity issued and outstanding immediately prior to the Holdco Effective Time, other than any share of Holdco Equity held by Holdco in treasury or owned by the Company, automatically converted into the right to receive 3,000,000 shares of Common Stock (the “Company Shares”); and</w:t>
        <w:br/>
        <w:t>WHEREAS, pursuant to the terms of the Merger Agreement, Company and the Holder desire to enter into this Agreement, pursuant to which (a) the Company shall grant the Holder certain registration rights with respect to the Company Shares and (b) Holder will agree to certain restrictions on transfer of the Company Shares, in each case, as set forth in this Agreement.</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I</w:t>
        <w:br/>
        <w:t>DEFINITIONS</w:t>
        <w:br/>
        <w:t>1.1 Definitions. The terms defined in this Article I shall, for all purposes of this Agreement, have the respective meanings set forth below:</w:t>
        <w:br/>
        <w:t>“Adverse Disclosure” shall mean any public disclosure of material non-public information, which disclosure, in the good faith judgment of the Board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“Agreement” shall have the meaning given in the Preamble.</w:t>
        <w:br/>
        <w:t>“Board” shall mean the Board of Directors of the Company.</w:t>
        <w:br/>
        <w:t>“Closing Date” shall have the meaning given in the Merger Agreement.</w:t>
        <w:br/>
        <w:t>“Commission” shall mean the Securities and Exchange Commission.</w:t>
        <w:br/>
        <w:t>“Common Stock” shall mean shares of Class A common stock, par value $0.0001 per share, of the Company.</w:t>
        <w:br/>
        <w:t>“Company” shall have the meaning given in the Preamble.</w:t>
        <w:br/>
        <w:t>“Company Shares” shall have the meaning given in the Recitals.</w:t>
        <w:br/>
        <w:t>“Exchange Act” shall mean the Securities Exchange Act of 1934, as it may be amended from time to time.</w:t>
        <w:br/>
        <w:t>“Form S-1 Shelf” shall have the meaning given in Section 2.1(a).</w:t>
        <w:br/>
        <w:t>“Form S-3 Shelf” shall have the meaning given in Section 2.1(a).</w:t>
        <w:br/>
        <w:t>“Holdco” shall have the meaning given in the Recitals.</w:t>
        <w:br/>
        <w:t>“Holdco Effective Time” shall have the meaning given in the Recitals.</w:t>
        <w:br/>
        <w:t>“Holdco Equity” shall have the meaning given in the Recitals.</w:t>
        <w:br/>
        <w:t>“Holdco Merger” shall have the meaning given in the Recitals.</w:t>
        <w:br/>
        <w:t>“Holder” shall have the meaning given in the Preamble.</w:t>
        <w:br/>
        <w:t>“IPO Registration Rights Agreement” shall mean that certain Registration Rights Agreement, dated as of February 24, 2021, by and among the Company, Flame Acquisition Sponsor, LLC, FL-Co-Investment, LLC, Intrepid Financial Partners, L.L.C., and the other parties named therein, as may be amended, modified, supplemented or restated from time to time.</w:t>
        <w:br/>
        <w:t>“Lock-up” shall have the meaning given in Section 5.1.</w:t>
        <w:br/>
        <w:t>“Lock-up Period” shall mean the period beginning on the Closing Date and ending on the third (3rd) anniversary of the Closing Date.</w:t>
        <w:br/>
        <w:t>“Lock-up Shares” shall mean the Company Shares and any other equity security of the Company issued or issuable with respect to any Company Shares by way of a stock dividend or stock split or in connection with a combination of shares, recapitalization, merger, consolidation or reorganization.</w:t>
        <w:br/>
        <w:t>“Maximum Number of Securities” shall have the meaning given in Section 2.1(e).</w:t>
        <w:br/>
        <w:t>“Merger Agreement” shall have the meaning given in the Recitals.</w:t>
        <w:br/>
        <w:t>“Mergers” shall have the meaning given in the Recitals.</w:t>
        <w:br/>
        <w:t>“Misstatement”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 xml:space="preserve">  2</w:t>
        <w:br/>
        <w:t>“Permitted Transferees” shall mean, with respect to the Holder, any person or entity to whom the Holder is permitted to Transfer Registrable Securities, including prior to the expiration of the Lock-up Period, under this Agreement and any other applicable agreement between the Holder and the Company, and to any other Permitted Transferee thereafter.</w:t>
        <w:br/>
        <w:t>“Person” shall mean any individual, firm, corporation, partnership, limited liability company, incorporated or unincorporated association, joint venture, joint stock company, governmental authority or instrumentality or other entity of any kind.</w:t>
        <w:br/>
        <w:t>“Piggyback Registration” shall have the meaning given in Section 2.2(a).</w:t>
        <w:br/>
        <w:t>“Prospectus” shall mean the prospectus included in any Registration Statement, as supplemented by any and all prospectus supplements and as amended by any and all post-effective amendments and including all material incorporated by reference in such prospectus.</w:t>
        <w:br/>
        <w:t>“Registrable Security” shall mean (a) the Company Shares issued and outstanding and held by the Holder immediately following the consummation of the Mergers and (b) any other equity security of the Company issued or issuable with respect to any such Company Shares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or (D) such securities have been sold to, or through, a broker, dealer or underwriter in a public distribution or other public securities transaction.</w:t>
        <w:br/>
        <w:t>“Registration” shall mean a registration, including any related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t>“Registration Expenses” shall mean the out-of-pocket expenses of a Registration, including, without limitation, the following:</w:t>
        <w:br/>
        <w:t>(a) all registration and filing fees (including fees with respect to filings required to be made with the Financial Industry Regulatory Authority, Inc.) and any national securities exchange on which Common Stock is then listed;</w:t>
        <w:br/>
        <w:t>(b) fees and expenses of compliance with securities or blue sky laws (including reasonable and customary fees and disbursements of outside counsel for the Underwriters in connection with blue sky qualifications of Registrable Securities);</w:t>
        <w:br/>
        <w:t>(c) printing, messenger, telephone and delivery;</w:t>
        <w:br/>
        <w:t>(d) reasonable fees and disbursements of counsel for the Company;</w:t>
        <w:br/>
        <w:t>(e) reasonable fees and disbursements of the independent registered public accounting firm of the Company incurred specifically in connection with such Registration; and</w:t>
        <w:br/>
        <w:t>(f) in an Underwritten Offering, reasonable fees and expenses of one (1) legal counsel selected by the Holder.</w:t>
        <w:br/>
        <w:t xml:space="preserve">  3</w:t>
        <w:br/>
        <w:t>“Registration Statement” shall mean any registration statement under the Securities Act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“Sable” shall have the meaning given in the Recitals.</w:t>
        <w:br/>
        <w:t>“Sable Merger” shall have the meaning given in the Recitals.</w:t>
        <w:br/>
        <w:t>“Securities Act” shall mean the Securities Act of 1933, as amended from time to time.</w:t>
        <w:br/>
        <w:t>“Shelf” shall have the meaning given in Section 2.1(a).</w:t>
        <w:br/>
        <w:t>“Shelf Registration” shall mean a registration of securities pursuant to a registration statement filed with the Commission in accordance with and pursuant to Rule 415 promulgated under the Securities Act (or any successor rule then in effect).</w:t>
        <w:br/>
        <w:t>“Shelf Takedown” shall mean any proposed transfer or sale using a Registration Statement, including a Piggyback Registration.</w:t>
        <w:br/>
        <w:t>“Transfer” shall mean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interest owned by a Person or any interest (including a beneficial interest or an economic entitlement) in, or the ownership, control or possession of, any interest owned by a Person.</w:t>
        <w:br/>
        <w:t>“Underwriter” shall mean a securities dealer who purchases any Registrable Securities as principal in an Underwritten Offering and not as part of such dealer’s market-making activities.</w:t>
        <w:br/>
        <w:t>“Underwritten Registration” or “Underwritten Offering” shall mean a Registration in which securities of the Company are sold to an Underwriter in a firm commitment underwriting for distribution to the public.</w:t>
        <w:br/>
        <w:t>ARTICLE II</w:t>
        <w:br/>
        <w:t>REGISTRATIONS</w:t>
        <w:br/>
        <w:t>2.1 Shelf Registration.</w:t>
        <w:br/>
        <w:t>(a) Filing. The Company shall use commercially reasonable efforts to submit or file with the Commission a Registration Statement for a Shelf Registration on Form S-1 (the “Form S-1 Shelf”) within thirty (30) calendar days after the date hereof, covering the public resale of all the Registrable Securities (determined as of two (2) business days prior to such submission or filing) on a delayed or continuous basis and shall use its commercially reasonable efforts to have such Form S-1 Shelf declared effective as soon as practicable after the filing thereof, but no later than the earlier of (a) the 90th calendar day after the filing date thereof (or the 120th calendar day following the filing date thereof if the Commission notifies the Company that it will “review” the Registration Statement) and (b) the tenth business day after the date Company is notified (orally or in writing whichever is earlier) by the Commission that the Registration Statement will not be “reviewed” or will not be subject to further review. The Company shall use commercially reasonable efforts to convert the Form S-1 (and any subsequent Registration Statement) to a shelf registration statement on Form S-3 (a “Form S-3 Shelf,” and together with the Form S-1 and any subsequent Registration Statement, the “Shelf”) as promptly as practicable after the Company is eligible to use a Form S-3 Shelf. The Company shall use commercially reasonable efforts to cause a Shelf to remain effective, and to be supplemented and amended to the extent necessary to ensure that such Shelf is continuously effective, available for use to permit the Holder to sell his Registrable Securities included therein and in compliance with the provisions of the Securities Act until such time as there are no longer any Registrable Securities. The Company’s obligation under this Section 2.1(a), shall, for the avoidance of doubt, be subject to Section 3.4.</w:t>
        <w:br/>
        <w:t xml:space="preserve">  4</w:t>
        <w:br/>
        <w:t>(b) Subsequent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and to comply with the provisions of the Securities Act with respect to the disposition of all the Registrable Securities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Registrable Securities (determined as of two (2) business days prior to such filing). If a Subsequent Shelf Registration Statement is filed, the Company shall use its commercially reasonable efforts to (i) cause such Subsequent Shelf Registration Statement to become effective under the Securities Act 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at the time of filing (as defined in Rule 405 promulgated under the Securities Act) at the most recent applicable eligibility determination date) and (ii) keep such Subsequent Shelf Registration Statement continuously effective, available for use to permit the Holder to sell his Registrable Securities included therein and in compliance with the provisions of the Securities Act until such time as there are no longer any Registrable Securities. Any such Subsequent Shelf Registration Statement shall be on Form S-3 to the extent that the Company is eligible to use such form at the time of filing. Otherwise, such Subsequent Shelf Registration Statement shall be on another appropriate form. Company’s obligation under this Section 2.1(b), shall, for the avoidance of doubt, be subject to Section 3.4.</w:t>
        <w:br/>
        <w:t>(c) Additional Registrable Securities. Subject to Section 3.4, in the event that the Holder holds Registrable Securities that are not registered for resale on a delayed or continuous basis, the Company, upon written request of the Holder, shall promptly use its commercially reasonable efforts to cause the resale of such Registrable Securities to be covered by either, at the Company’s option, any then available Shelf (including by means of a post-effective amendment) or by filing a Subsequent Shelf Registration Statement and cause the same to become effective as soon as practicable after such filing, and such Shelf or Subsequent Shelf Registration Statement shall be subject to the terms hereof; provided, however, that the Company shall only be required to cause such additional Registrable Securities to be so covered once per calendar year for the Holder.</w:t>
        <w:br/>
        <w:t>(d) Requests for Underwritten Shelf Takedowns. Subject to Section 3.4, at any time and from time to time after the expiration of any Lock-up Period to which the Holder’s shares are subject, if any, and when an effective Shelf is on file with the Commission, the Holder may request to sell all or any portion of his Registrable Securities in an Underwritten Offering that is registered pursuant to the Shelf (each, an “Underwritten Shelf Takedown”); provided that the Company shall be obligated to effect an Underwritten Shelf Takedown only if such offering shall include Registrable Securities proposed to be sold by the Holder, either individually or together with Permitted Transferees, with a total offering price reasonably expected to exceed, in the aggregate, $25 million. All requests for Underwritten Shelf Takedowns shall be made by giving written notice to the Company, which shall specify the approximate number of Registrable Securities proposed to be sold in the Underwritten Shelf Takedown. The Company shall have the right to select the managing Underwriter or Underwriters for such offering (which shall consist of one or more reputable nationally recognized investment banks), subject to the Holder’s prior approval (which shall not be unreasonably withheld, conditioned or delayed). The Holder may demand not more than one (1) Underwritten Shelf Takedown, pursuant to this Section 2.1(d), in any twelve (12) month period. Notwithstanding anything to the contrary in this Agreement, the Company may effect any Underwritten Offering pursuant to any then effective Registration Statement, including a Form S-3, that is then available for such offering.</w:t>
        <w:br/>
        <w:t>(e) Reduction of Underwritten Offering. If the managing Underwriter or Underwriters in an Underwritten Shelf Takedown, advises the Company and the Holder in writing that the dollar amount or number of Registrable Securities that the Holder and any Permitted Transferees desire to sell, taken together with all other Common</w:t>
        <w:br/>
        <w:t xml:space="preserve">  5</w:t>
        <w:br/>
        <w:t>Stock or other equity securities, if any, that the Company desires to sell and all other Common Stock or other equity securities, if any, that have been requested to be sold in such Underwritten Offering pursuant to separate written contractual piggy-back registration rights held by any other stockholders, exceeds the maximum dollar amount or maximum number of equity securities that can be sold in such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Common Stock or other equity securities proposed to be sold by Company or by other holders of Common Stock or other equity securities, (A) first, the Registrable Securities of the Holder and any Permitted Transferees that can be sold without exceeding the Maximum Number of Securities, (B) second, to the extent that the Maximum Number of Securities has not been reached under the foregoing clause (A), Common Stock, if any, as to which “Holders” (as defined in the IPO Registration Rights Agreement) have exercised their piggyback registration rights pursuant to the IPO Registration Rights Agreement, pro rata based on the number of “Registrable Securities” (as defined in the IPO Registration Rights Agreement) that each such “Holder” has requested to be included in such registration and the aggregate number of “Registrable Securities” that such “Holders” have requested to be included in such registration, which can be sold without exceeding the Maximum Number of Securities; (C) third, to the extent that the Maximum Number of Securities has not been reached under the foregoing clauses (A) and (B), Common Stock or other equity securities that the Company desires to sell, which can be sold without exceeding the Maximum Number of Securities; and (D) fourth, to the extent that the Maximum Number of Securities has not been reached under the foregoing clauses (A), (B), and (C), Common Stock or other equity securities for the account of other Persons that the Company is obligated to register pursuant to separate written contractual arrangements with such persons or entities, which can be sold without exceeding the Maximum Number of Securities.</w:t>
        <w:br/>
        <w:t>(f) Withdrawal. Prior to the filing of the applicable “red xxxxxxx” prospectus or prospectus supplement used for marketing such Underwritten Shelf Takedown, the Holder shall have the right to withdraw from such Underwritten Shelf Takedown for any or no reason whatsoever upon written notification to the Company and the Underwriter or Underwriters (if any) of his intention to withdraw from such Underwritten Shelf Takedown. If withdrawn, a demand for an Underwritten Shelf Takedown shall constitute a demand for an Underwritten Shelf Takedown by the Holder for purposes of Section 2.1(d). Notwithstanding anything to the contrary in this Agreement, the Company shall be responsible for the Registration Expenses incurred in connection with a Shelf Takedown prior to its withdrawal under this Section 2.1(f).</w:t>
        <w:br/>
        <w:t>2.2 Piggyback Registration.</w:t>
        <w:br/>
        <w:t>(a) Piggyback Rights. If, at any time after the end of the Lock-up Period,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or (iv) for a dividend reinvestment plan, then the Company shall give written notice of such proposed filing to the Holder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the Holder the opportunity to register the sale of such number of Registrable Securities as such Holder may request in writing within five (5) days after receipt of such written notice (such Registration a “Piggyback Registration”). The Company shall, in good faith, cause such Registrable Securities to be included in such Piggyback Registration and shall use its best efforts to cause the managing Underwriter or Underwriters of a proposed Underwritten Offering to permit the Registrable Securities requested by the Holder pursuant to this Section 2.2(a) to be included in a Piggyback</w:t>
        <w:br/>
        <w:t xml:space="preserve">  6</w:t>
        <w:br/>
        <w:t>Registration on the same terms and conditions as any similar securities of the Company included in such Registration and to permit the sale or other disposition of such Registrable Securities in accordance with the intended method(s) of distribution thereof. The Holder proposing to distribute his Registrable Securities through an Underwritten Offering under this Section 2.2(a) shall enter into an underwriting agreement in customary form with the Underwriter(s) selected for such Underwritten Offering by the Company.</w:t>
        <w:br/>
        <w:t>(b) Reduction of Piggyback Registration. If the managing Underwriter or Underwriters in an Underwritten Registration that is to be a Piggyback Registration, in good faith, advises the Company and the Holder in writing that the dollar amount or number of shares of Common Stock that the Company desires to sell, taken together with (i) the shares of Common Stock, if any, as to which Registration has been demanded pursuant to separate written contractual arrangements with persons or entities other than the Holder hereunder, (ii) the Registrable Securities as to which registration has been requested pursuant to Section 2.2 hereof, and (iii) the shares of Common Stock, if any, as to which Registration has been requested pursuant to separate written contractual piggy-back registration rights of other stockholders of the Company (including, for the avoidance of doubt, and without limitation, the IPO Registration Rights Agreement), exceeds the Maximum Number of Securities, then:</w:t>
        <w:br/>
        <w:t>(1) If the Registration is undertaken for the Company’s account, the Company shall include in any such Registration (A) first, Common Stock or other equity securities that the Company desires to sell, which can be sold without exceeding the Maximum Number of Securities; (B) second, to the extent that the Maximum Number of Securities has not been reached under the foregoing clause (A), Common Stock, if any, as to which Registration has been requested pursuant to the IPO Registration Rights Agreement, which can be sold without exceeding the Maximum Number of Securities ; and (C) third, to the extent that the Maximum Number of Securities has not been reached under the foregoing clauses (A) and (B), the Registrable Securities of the Holder exercising his rights to register his Registrable Securities pursuant to Section 2.2(a) hereof which can be sold without exceeding the Maximum Number of Securities; and (D) fourth, to the extent that the Maximum Number of Securities has not been reached under the foregoing clauses (A), (B) and (C), Common Stock, if any, as to which Registration has been requested pursuant to written contractual piggyback registration rights of other stockholders of the Company, which can be sold without exceeding the Maximum Number of Securities; and</w:t>
        <w:br/>
        <w:t>(2) If the Registration is pursuant to a request by persons or entities other than the Holder, then the Company shall include in any such Registration (A) first, Common Stock or other equity securities, if any, of such requesting persons or entities, other than the Holder, which can be sold without exceeding the Maximum Number of Securities; (B) second, to the extent that the Maximum Number of Securities has not been reached under the foregoing clause (A), Common Stock, if any, as to which “Holders” (as defined in the IPO Registration Rights Agreement) have exercised their piggyback registration rights pursuant to IPO Registration Rights Agreement, pro rata based on the number of “Registrable Securities” (as defined in the IPO Registration Rights Agreement) that each such “Holder” has requested to be included in such registration and the aggregate number of “Registrable Securities” that such “Holders” have requested to be included in such registration, which can be sold without exceeding the Maximum Number of Securities; and (C) third, to the extent that the Maximum Number of Securities has not been reached under the foregoing clauses (A) and (B), the Registrable Securities of the Holder exercising his rights to register his Registrable Securities pursuant to Section 2.2(a) which can be sold without exceeding the Maximum Number of Securities; (D) fourth, to the extent that the Maximum Number of Securities has not been reached under the foregoing clauses (A), (B) and (C), Common Stock or other equity securities that the Company desires to sell, which can be sold without exceeding the Maximum Number of Securities; and (E) fifth, to the extent that the Maximum Number of Securities has not been reached under the foregoing clauses (A), (B), (C) and (D),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7</w:t>
        <w:br/>
        <w:t>(c) Piggyback Registration Withdrawal. The Holder shall have the right to withdraw from a Piggyback Registration for any or no reason whatsoever upon written notification to the Company and the Underwriter or Underwriters (if any) of his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2.2(c).</w:t>
        <w:br/>
        <w:t>(d) Unlimited Piggyback Registration Rights. For purposes of clarity, subject to Section 2.1(f), any Piggyback Registration effected pursuant to Section 2.2 hereof shall not be counted as an Underwritten Shelf Takedown under Section 2.1(d) hereof.</w:t>
        <w:br/>
        <w:t>ARTICLE III</w:t>
        <w:br/>
        <w:t>COMPANY PROCEDURES</w:t>
        <w:br/>
        <w:t>3.1 General Procedures. If at any time the Company is required to effect the Registration of Registrable Securities hereunder, the Company shall use its commercially reasonable efforts to effect such Registration to permit the sale of such Registrable Securities in accordance with the intended plan of distribution thereof, and pursuant thereto the Company shall:</w:t>
        <w:br/>
        <w:t>(a) prepare and file with the Commission as soon as practicable a Registration Statement with respect to such Registrable Securities and use its reasonable best efforts to cause such Registration Statement to become effective and remain effective until all Registrable Securities covered by such Registration Statement have been sold;</w:t>
        <w:br/>
        <w:t>(b) prepare and file with the Commission such amendments and post-effective amendments to the Registration Statement, and such supplements to the Prospectus, as may be requested by the Holder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are no longer outstanding;</w:t>
        <w:br/>
        <w:t>(c) prior to filing a Registration Statement or Prospectus, or any amendment or supplement thereto, furnish without charge to the Underwriters, if any, and the Holder and the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 or the legal counsel for the Holder may reasonably request in order to facilitate the disposition of the Registrable Securities owned by the Holder; provided, that the Company will not have any obligation to provide any document pursuant to this clause that is available on the Commission’s XXXXX system;</w:t>
        <w:br/>
        <w:t>(d) prior to any public offering of Registrable Securities, use its reasonable best efforts to (i) register or qualify the Registrable Securities covered by the Registration Statement under such securities or “blue sky” laws of such jurisdictions in the United States as the Holder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w:t>
        <w:br/>
        <w:t xml:space="preserve">  8</w:t>
        <w:br/>
        <w:t>as may be necessary by virtue of the business and operations of the Company and do any and all other acts and things that may be necessary or advisable to enable the Holder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(e) cause all such Registrable Securities to be listed on each securities exchange or automated quotation system on which similar securities issued by the Company are then listed;</w:t>
        <w:br/>
        <w:t>(f) provide a transfer agent or warrant agent, as applicable, and registrar for all such Registrable Securities no later than the effective date of such Registration Statement;</w:t>
        <w:br/>
        <w:t>(g) advise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(h) at least five (5) days prior to the filing of any Registration Statement or Prospectus or any amendment or supplement to such Registration Statement or Prospectus or any document that is to be incorporated by reference into such Registration Statement or Prospectus, furnish a copy thereof to each seller of such Registrable Securities or its counsel;</w:t>
        <w:br/>
        <w:t>(i) notify the Holder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(j) permit a representative of the Holder, the Underwriters, if any, and any attorney or accountant retained by the Holder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(k) obtain a “cold comfort” letter from the Company’s independent registered public accountants in the event of an Underwritten Registration, in customary form and covering such matters of the type customarily covered by “cold comfort” letters as the managing Underwriter may reasonably request, and reasonably satisfactory the participating Holder;</w:t>
        <w:br/>
        <w:t>(l) on the date the Registrable Securities are delivered for sale pursuant to such Registration, obtain an opinion, dated such date, of counsel representing the Company for the purposes of such Registration, addressed to the Holder, the placement agent or sales agent, if any, and the Underwriters, if any, covering such legal matters with respect to the Registration in respect of which such opinion is being given as the Holder, placement agent, sales agent, or Underwriter may reasonably request and as are customarily included in such opinions and negative assurance letters, and reasonably satisfactory to the participating Holder;</w:t>
        <w:br/>
        <w:t>(m) in the event of any Underwritten Offering, enter into and perform its obligations under an underwriting agreement, in usual and customary form, with the managing Underwriter of such Underwritten Offering;</w:t>
        <w:br/>
        <w:t xml:space="preserve">  9</w:t>
        <w:br/>
        <w:t>(n) make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(o) if the Registration involves the Registration of Registrable Securities involving gross proceeds in excess of $50,000,000, use its reasonable best efforts to make available senior executives of the Company to participate in customary “road show” presentations that may be reasonably requested by the Underwriter in any Underwritten Offering; and</w:t>
        <w:br/>
        <w:t>(p) otherwise, in good faith, cooperate reasonably with, and take such customary actions as may reasonably be requested by the Holder, in connection with such Registration.</w:t>
        <w:br/>
        <w:t>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3.2 Registration Expenses. The Registration Expenses of all Registrations shall be borne by the Company. It is acknowledged by the Holder that the Holder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w:t>
        <w:br/>
        <w:t>3.3 Requirements for Participation in Underwritten Offerings. No person may participate in any Underwritten Offering for equity securities of the Company pursuant to a Registration initiated by the Company hereunder unless such person (a) agrees to sell such person’s securities on the basis provided in any underwriting arrangements approved by the Company and (b) completes and executes all customary questionnaires, powers of attorney, indemnities, lock-up agreements, underwriting agreements and other customary documents as may be reasonably required under the terms of such underwriting arrangements.</w:t>
        <w:br/>
        <w:t>3.4 Suspension of Sales; Adverse Disclosure. Upon receipt of written notice from the Company that a Registration Statement or Prospectus contains a Misstatement, the Holder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 agrees to suspend, immediately upon his receipt of the notice referred to above, his use of the Prospectus relating to any Registration in connection with any sale or offer to sell Registrable Securities. The Company shall immediately notify the Holder of the expiration of any period during which it exercised its rights under this Section 3.4.</w:t>
        <w:br/>
        <w:t>3.5 Reporting Obligations. As long as the Holder or Permitted Transferees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w:t>
        <w:br/>
        <w:t xml:space="preserve">  10</w:t>
        <w:br/>
        <w:t>promptly furnish the Holder with true and complete copies of all such filings. The Company further covenants that it shall take such further action as the Holder may reasonably request, all to the extent required from time to time to enable the Holder to sell shares of Common Stock held by the Holder without registration under the Securities Act within the limitation of the exemptions provided by Rule 144 promulgated under the Securities Act (or any successor rule promulgated thereafter by the Commission), including providing any legal opinions. Upon the request of the Holder, the Company shall deliver to the Holder a written certification of a duly authorized officer as to whether it has complied with such requirements.</w:t>
        <w:br/>
        <w:t>ARTICLE IV</w:t>
        <w:br/>
        <w:t>INDEMNIFICATION AND CONTRIBUTION</w:t>
        <w:br/>
        <w:t>4.1 Indemnification.</w:t>
        <w:br/>
        <w:t>(a) The Company agrees to indemnify, to the extent permitted by law, the Holder against all losses, claims, damages, liabilities and expenses (including, without limitation, reasonable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the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(b) In connection with any Registration Statement in which the Holder is participating, the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the Holder expressly for use therein. The Holder shall indemnify the Underwriters, their officers, directors and each person who controls such Underwriters (within the meaning of the Securities Act) to the same extent as provided in the foregoing with respect to indemnification of the Company. For the avoidance of doubt, the total indemnification liability of the Holder under this Section 4.1(b) shall be in proportion to and limited to the net proceeds received by the Holder from the sale of Registrable Securities pursuant to such Registration Statement.</w:t>
        <w:br/>
        <w:t>(c) Any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w:t>
        <w:br/>
        <w:t xml:space="preserve">  11</w:t>
        <w:br/>
        <w:t>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(d) The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w:t>
        <w:br/>
        <w:t>(e) If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the Holder under this Section 4.1(e) shall be limited to the amount of the net proceeds received by the Holder in such offering giving rise to such liability. The amount paid or payable by a party as a result of the losses or other liabilities referred to above shall be deemed to include, subject to the limitations set forth in Sections 4.1(a), 4.1(b) and 4.1(c) above, any legal or other fees, charges or expenses reasonably incurred by such party in connection with any investigation or proceeding. The parties hereto agree that it would not be just and equitable if contribution pursuant to this Section 4.1(e) were determined by pro rata allocation or by any other method of allocation, which does not take account of the equitable considerations referred to in this Section 4.1(e). No person guilty of fraudulent misrepresentation (within the meaning of Section 11(f) of the Securities Act) shall be entitled to contribution pursuant to this Section 4.1(e) from any person who was not guilty of such fraudulent misrepresentation.</w:t>
        <w:br/>
        <w:t>ARTICLE V</w:t>
        <w:br/>
        <w:t>LOCK-UP</w:t>
        <w:br/>
        <w:t>5.1 Lock-Up. Subject to Section 5.2, the Holder agrees that it shall not Transfer any Lock-up Shares prior to the end of the Lock-up Period (the “Lock-up”).</w:t>
        <w:br/>
        <w:t>5.2 Permitted Transferees. Notwithstanding the provisions set forth in Section 5.1, the Holder may Transfer the Lock-up Shares during the Lock-up Period (a) by gift to a member of the Holder’s immediate family or to a trust, the beneficiary of which is a member of the Holder’s immediate family or an affiliate of such person or entity, or to a charitable organization, (b) by virtue of laws of descent and distribution upon death of the Holder, (c) pursuant to a qualified domestic relations order or (d) in connection with a liquidation, merger, stock exchange, reorganization, or tender offer approved by the Board or a duly authorized committee thereof or other similar transaction which results in all of the Company’s stockholders having the right to exchange his, her or its Common Stock for cash, securities or other property subsequent to the consummation of the Mergers; provided, that each Permitted Transferee must enter into a written agreement agreeing to be bound by the terms hereof as if such Permitted Transferee was the Holder. The parties acknowledge and agree that any Permitted Transferee of the Holder shall be subject to the Transfer restrictions set forth in this ARTICLE V with respect to the Lock-Up Shares upon and after acquiring such Lock-Up Shares.</w:t>
        <w:br/>
        <w:t xml:space="preserve">  12</w:t>
        <w:br/>
        <w:t>ARTICLE VI</w:t>
        <w:br/>
        <w:t>MISCELLANEOUS</w:t>
        <w:br/>
        <w:t>6.1 Notices. Any notice or communication under this Agreement must be in writing and given by (a) deposit in the United States mail, addressed to the party to be notified, postage prepaid and registered or certified with return receipt requested, (b) delivery in person or by courier service providing evidence of delivery, or (c) transmission by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000 Xxxxx Xxxxxx Xxxxx 0000, Xxxxxxx, XX, 00000, Attention: Xxxxxxx X. Xxxxxxxxx, and, if to the Holder, at the Holder’s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6.1.</w:t>
        <w:br/>
        <w:t>6.2 Assignment; No Third Party Beneficiaries.</w:t>
        <w:br/>
        <w:t>(a) This Agreement and the rights, duties and obligations of the Company hereunder may not be assigned or delegated by the Company in whole or in part.</w:t>
        <w:br/>
        <w:t>(b) Prior to the expiration of the Lock-up Period, the Holder may not assign or delegate his rights, duties or obligations under this Agreement, in whole or in part, except in connection with a Transfer of Registrable Securities by the Holder to a Permitted Transferee.</w:t>
        <w:br/>
        <w:t>(c) This Agreement and the provisions hereof shall be binding upon and shall inure to the benefit of each of the parties and its successors and the permitted assigns of the Holder, which shall include Permitted Transferees.</w:t>
        <w:br/>
        <w:t>(d) This Agreement shall not confer any rights or benefits on any persons that are not parties hereto, other than as expressly set forth in this Agreement and Section 6.2 hereof.</w:t>
        <w:br/>
        <w:t>(e) No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assignment or delegation made other than as provided in this Section 6.2 shall be null and void.</w:t>
        <w:br/>
        <w:t>6.3 Counterparts. This Agreement may be executed in multiple counterparts (including facsimile or PDF counterparts), each of which shall be deemed an original, and all of which together shall constitute the same instrument, but only one of which need be produced.</w:t>
        <w:br/>
        <w:t>6.4 Governing Law; Venue. This Agreement, and any claim or cause of action hereunder based upon, arising out of or related to this Agreement (whether based on law, in equity, in contract, in tort or any other theory) or the negotiation, execution, performance or enforcement of this Agreement, shall be governed by and construed in accordance with the laws of the State of Delaware, without giving effect to the principles of conflicts of laws thereof.</w:t>
        <w:br/>
        <w:t xml:space="preserve">  13</w:t>
        <w:br/>
        <w:t>THE PARTIES HERETO IRREVOCABLY SUBMIT TO THE EXCLUSIVE JURISDICTION OF THE UNITED STATES DISTRICT COURT FOR THE DISTRICT OF DELAWARE, AND, IF SUCH FEDERAL COURT DOES NOT HAVE JURISDICTION, THE COURTS OF THE STATE OF DELAWARE SOLELY IN RESPECT OF THE INTERPRETATION AND ENFORCEMENT OF THE PROVISIONS OF THIS AGREEMENT AND THE DOCUMENTS REFERRED TO IN THIS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AGREEMENT OR ANY SUCH DOCUMENT MAY NOT BE ENFORCED IN OR BY SUCH COURTS, AND THE PARTIES HERETO IRREVOCABLY AGREE THAT ALL CLAIMS WITH RESPECT TO SUCH ACTION, SUIT OR PROCEEDING SHALL BE HEARD AND DETERMINED BY SUCH FEDERAL OR DELAWARE STATE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6.1 OR IN SUCH OTHER MANNER AS MAY BE PERMITTED BY LAW SHALL BE VALID AND SUFFICIENT SERVICE THEREOF.</w:t>
        <w:br/>
        <w:t>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6.5 Amendments and Modifications. Upon the written consent of the Company and the Holder, compliance with any of the provisions, covenants and conditions set forth in this Agreement may be waived, or any of such provisions, covenants or conditions may be amended or modified. No course of dealing between the Holder or the Company and any other party hereto or any failure or delay on the part of the Holder or the Company in exercising any rights or remedies under this Agreement shall operate as a waiver of any rights or remedies of the Holder or the Company. No single or partial exercise of any rights or remedies under this Agreement by a party shall operate as a waiver or preclude the exercise of any other rights or remedies hereunder or thereunder by such party.</w:t>
        <w:br/>
        <w:t>6.6 Term. This Agreement shall terminate upon the earlier of (a) the tenth anniversary of the date of this Agreement or (b) the first date following the end of the Lock-Up Period as of which (x) all of the Registrable Securities have been sold pursuant to a Registration Statement (but in no event prior to the applicable period referred to in Section 4(a)(3) of the Securities Act and Rule 174 thereunder (or any successor rule promulgated thereafter by the Commission)) or (y) the Holder is permitted to sell the Registrable Securities under Rule 144 (or any similar provision) under the Securities Act without limitation on the amount of securities sold or the manner of sale. The provisions of Section 3.5, Article IV and Article VI shall survive any termination.</w:t>
        <w:br/>
        <w:t>[Signature Page Follows]</w:t>
        <w:br/>
        <w:t xml:space="preserve">  14</w:t>
        <w:br/>
        <w:t>IN WITNESS WHEREOF, the undersigned have caused this Agreement to be executed as of the date first written above.</w:t>
        <w:br/>
        <w:t xml:space="preserve">  COMPANY:</w:t>
        <w:br/>
        <w:t>SABLE OFFSHORE CORP.</w:t>
        <w:br/>
        <w:t xml:space="preserve">By:  </w:t>
        <w:br/>
        <w:t>/s/ Xxxxxxx X. Xxxxxxxxx</w:t>
        <w:br/>
        <w:t>Name:   Xxxxxxx X. Xxxxxxxxx</w:t>
        <w:br/>
        <w:t>Title:   Executive Vice President and Chief Financial Officer</w:t>
        <w:br/>
        <w:t xml:space="preserve">  [Signature Page to Registration Rights Agreement]</w:t>
        <w:br/>
        <w:t>HOLDER:</w:t>
        <w:br/>
        <w:t>/s/ Xxxxx X. Xxxxxx</w:t>
        <w:br/>
        <w:t>Xxxxx X. Xxxxxx</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