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Execution Version</w:t>
        <w:br/>
        <w:t xml:space="preserve">  FORM OF REGISTRATION RIGHTS AGREEMENT</w:t>
        <w:br/>
        <w:t xml:space="preserve">  THIS REGISTRATION RIGHTS AGREEMENT (this “Agreement”), dated as of February 26, 2024, and effective as set forth in Section 11(a), is made and entered into by and among (i) Ondas Holdings Inc., a Nevada corporation (the “Parent”), (ii) each of the Persons listed on Schedule A attached hereto (the “Schedule of Holders”) as of the date hereof, and (iii) each of the other Persons set forth from time to time on the Schedule of Holders who, at any time, own Registrable Securities and enter into a joinder to this Agreement agreeing to be bound by the terms hereof (each Person identified in the foregoing (ii) and (iii), a “Holder” and, collectively, the “Holders”).</w:t>
        <w:br/>
        <w:t xml:space="preserve">  RECITALS</w:t>
        <w:br/>
        <w:t xml:space="preserve">  WHEREAS, the Parent has entered into a Preferred Stock Purchase Agreement, dated February 26, 2024 (the “Stock Purchase Agreement”), by and among Ondas Networks Inc., a Delaware corporation (“Ondas Networks”), and Holders; and</w:t>
        <w:br/>
        <w:t xml:space="preserve">  WHEREAS, in connection with the Stock Purchase Agreement, the Parent shall issue warrants to acquire 3,015,000 Parent Warrant Shares (the "Parent Warrants"), pursuant to the terms of the Stock Purchase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1. Resale Shelf Registration Rights.</w:t>
        <w:br/>
        <w:t xml:space="preserve">  (a) Registration Statement Covering Resale of Registrable Securities. The Parent shall prepare and file or cause to be prepared and filed with the Commission, no later than one hundred and eighty (180) days following the Closing (as defined in the Stock Purchase Agreement) (such deadline, the “”), a Registration Statement for an offering to be made on a continuous basis pursuant to Rule 415 of the Securities Act registering the resale from time to time by the holders of all of the Registrable Securities held by the Holders (the “”). The Resale Shelf Registration Statement shall be on Form S-3 (“”) or such other appropriate form permitting Registration of such Registrable Securities for resale by such Holders. The Parent shall use commercially reasonable efforts to cause the Resale Shelf Registration Statement to be declared effective as soon as possible after filing, but in no event later than the earlier of (i) ninety (90) days following the Filing Deadline or (ii) ten (10) Business Days after the Commission notifies the Parent that it will not review the Resale Shelf Registration Statement, if applicable (the “”); , that the Effectiveness Deadline shall be extended by no more than one hundred and twenty (120) days after the Filing Deadline if the Registration Statement is reviewed by, and receives comments from, the Commission. Once effective, the Parent shall use commercially reasonable efforts to keep the Resale Shelf Registration Statement continuously effective and shall use commercially reasonable efforts to cause the Resale Shelf Registration Statement to be supplemented and amended to the extent necessary to ensure that such Registration Statement is continuously available or, if not available, to ensure that another Registration Statement is available, under the Securities Act at all times until such date that all of the Holders may immediately sell all of the Registrable Securities owned by each such Holder pursuant to Rule 144 of the Securities Act without any limitations or restrictions as to volume or manner of sale or otherwise (the “”). The Resale Shelf Registration Statement shall contain a Prospectus in such form as to permit any Holder to sell such Registrable Securities pursuant to Rule 415 under the Securities Act (or any successor or similar provision adopted by the Commission then in effect) at any time beginning on the effective date for such Registration Statement (subject to lock-up restrictions provided in this Agreement), and shall provide that such Registrable Securities may be sold pursuant to any method or combination of methods legally available to the 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