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AMENDMENT NO. 1 TO RIGHTS AGREEMENT</w:t>
        <w:br/>
        <w:t xml:space="preserve">  This Amendment No. 1 to Rights Agreement (the “Amendment”), dated as of February 16, 2021, is entered into by and between Tribune Publishing Company, a Delaware corporation (the “Company”), and Computershare Trust Company, N.A., a federally chartered trust company, as Rights Agent (the “Rights Agent”).</w:t>
        <w:br/>
        <w:t xml:space="preserve">  WHEREAS, the Company and the Rights Agent are parties to a Rights Agreement, dated as of July 28, 2020 (the “Agreement”);</w:t>
        <w:br/>
        <w:t xml:space="preserve">  WHEREAS, the Company proposes to enter into an Agreement and Plan of Merger (as it may be amended from time to time, the “Merger Agreement”), by and among Tribune Enterprises, LLC (“Parent”), Tribune Merger Sub, Inc. (“Merger Sub”), and the Company, providing for the merger (the “Merger”) of Merger Sub with and into the Company, with the Company continuing as the surviving corporation;</w:t>
        <w:br/>
        <w:t xml:space="preserve">  WHEREAS, the Board of Directors of the Company has determined that, in connection with the execution of the Merger Agreement, it is necessary and desirable to amend the Agreement to exempt the Merger Agreement, the execution and delivery thereof, and the transactions contemplated thereby, including, without limitation, the Merger, from the application of the Agreement, in each case as set forth in this Amendment;</w:t>
        <w:br/>
        <w:t xml:space="preserve">  WHEREAS, (i) Section 24 of the Agreement provides, among other things, that prior to a Section 9(a)(ii) Event, the Rights Agent shall, if the Company so directs, supplement or amend any provision of the Agreement without the approval of the holders of the Rights or Right Certificates, (ii) pursuant to Section 24 of the Agreement, an Authorized Officer of the Company has delivered a certificate to the Rights Agent stating that the proposed amendments to the Agreement set forth in this Amendment are in compliance with the terms of the Agreement, and (iii) pursuant to the terms of the Agreement and in accordance with Section 24 thereof, the Company has directed that the Agreement should be amended as set forth in this Amendment prior to the execution of the Merger Agreement; and</w:t>
        <w:br/>
        <w:t xml:space="preserve">  WHEREAS, capitalized terms used in this Amendment without definition shall have the meanings given to them in the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