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(the “Agreement”), dated as of November 22, 2024, is by and among Classover Holdings, Inc., a Delaware corporation with offices located at 0 Xxx Xxxxx, #00000, Xxxxx, Xxxxxxxx 00000 (the “Company”), Battery Future Acquisition Corp., a Cayman Islands exempted company (the “SPAC”), Class Over Inc., a Delaware corporation (the “Target”, and together with the Company and the SPAC, the “BC Parties”) and each of the investors listed on the Schedule of Buyers attached hereto (individually, a “Buyer” and collectively, the “Buyers”).</w:t>
        <w:br/>
        <w:t xml:space="preserve">  RECITALS</w:t>
        <w:br/>
        <w:t xml:space="preserve">  A. On May 12, 2024, the Company entered into that certain Agreement and Plan of Merger (as in effect as of the date hereof, the “Merger Agreement”), with the SPAC, the Target, BFAC Merger Sub 1 Corp. (“Merger Sub 1”) and BFAC Merger Sub 2 Corp. (“Merger Sub 2”), pursuant to which, among other things, on such date (the “Business Combination Closing”, and such date, the “Business Combination Closing Date”) (i) Merger Sub 1 shall merge with and into SPAC, with SPAC being the surviving corporation in the merger and becoming a wholly-owned subsidiary of the Company and (ii) Merger Sub 2 shall merge with and into the Target, with the Target being the surviving corporation in the merger and becoming a wholly-owned subsidiary of the Company (such transactions being collectively referred to as the “Business Combination”).</w:t>
        <w:br/>
        <w:t xml:space="preserve">  B. Each of the Company, the Target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C. The Company has authorized a new series of convertible preferred stock of the Company, designated as Series B Convertible Preferred Stock, $0.0001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B Preferred Stock”), which Series B Preferred Stock shall be convertible into shares of Common Stock (as defined below) (such shares of Common Stock issuable pursuant to the terms of the Certificate of Designations, including, without limitation, upon conversion or otherwise, collectively, the “Conversion Shares”), in accordance with the terms of the Certificate of Designations.</w:t>
        <w:br/>
        <w:t xml:space="preserve">  D. Each Buyer wishes to purchase, and the Company wishes to sell, upon the terms and conditions stated in this Agreement, (i) the aggregate number of shares of Series B Preferred Stock (the “Initial Preferred Shares”) set forth opposite such Buyer’s name in column (3) on the Schedule of Buyers, (ii) a warrant to initially acquire up to that aggregate number of additional shares of Series B Preferred Stock set forth opposite such Buyer’s name in column (2) on the Schedule of Buyers, substantially in the form attached hereto as Exhibit B-1 (the “First Preferred Warrant”), and (iii) a warrant to initially acquire up to that aggregate number of additional shares of Series B Preferred Stock set forth opposite such Buyer’s name in column (3) on the Schedule of Buyers, substantially in the form attached hereto as Exhibit B-2 (the “Second Preferred Warrant” and together with the First Preferred Warrant, the “Preferred Warrants”) (as exercised, collectively, the “Warrant Preferred Shares”). The Warrant Preferred Shares and the Initial Preferred Shares are collectively referred to herein as the “Preferred Shares”.</w:t>
        <w:br/>
        <w:t xml:space="preserve">    1</w:t>
        <w:br/>
        <w:t xml:space="preserve">    E. 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F. The Preferred Shares, the Conversion Shares and the Preferred Warrants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PREFERRED WARRANTS.</w:t>
        <w:br/>
        <w:t xml:space="preserve">  (a) Purchase of Preferred Shares and Preferred Warrants. Subject to the satisfaction (or waiver) of the conditions set forth in Sections 6 and 7 below, the Company shall issue and sell to each Buyer, and each Buyer severally, but not jointly, agrees to purchase from the Company on the Closing Date (as defined below) (i) the aggregate number of Preferred Shares as is set forth opposite such Buyer’s name in column (3) on the Schedule of Buyers, (ii) a First Preferred Warrant to initially acquire up to that aggregate number of Warrant Preferred Shares as set forth opposite such Xxxxx’s name in column (4) on the Schedule of Buyers and (iii) a Second Preferred Warrant to initially acquire up to that aggregate number of Warrant Preferred Shares as set forth opposite such Xxxxx’s name in column (5) on the Schedule of Buyers.</w:t>
        <w:br/>
        <w:t xml:space="preserve">  (b) Closing. The closing (the “Closing”) of the purchase of the Preferred Shares and Preferred Warrants by the Buyers shall occur at the offices of Xxxxxx Xxxx &amp; Xxxxxx LLP, 0 Xxxxx Xxxxx Xxxxxx, 000 Xxxxxxxxx Xxxxxx, Xxx Xxxx, XX 00000. The date and time of the Closing (the “Closing Date”) shall be 10:00 a.m., New York time, on the first (1st) Business Day (as defined below) on which the conditions to the Closing set forth in Sections 6 and 7 below are satisfied or waived (or such other date as is mutually agreed to by the Company and each Buyer). As used herein “Business Day” means any day other than a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2</w:t>
        <w:br/>
        <w:t xml:space="preserve">    (c) Purchase Price. The aggregate purchase price for the Initial Preferred Shares and Preferred Warrants to be purchased by each Buyer (the “Purchase Price”) shall be the amount set forth opposite such Buyer’s name in column (6) on the Schedule of Buyers (which includes a 5% original issue discount).</w:t>
        <w:br/>
        <w:t xml:space="preserve">  (d) Form of Payment. On the Closing Date, (i) each Buyer shall pay its respective Purchase Price (less, in the case of any Buyer, the amounts withheld by such Buyer pursuant to Section 4(g)) to the Company for the Preferred Shares and the Preferred Warrants to be issued and sold to such Buyer at the Closing, by wire transfer of immediately available funds in accordance with the Flow of Funds Letter (as defined below) and (ii) the Company shall deliver to each Buyer (A) a stock certificate (or evidence of book entry, as applicable) of the Company for such aggregate number of Preferred Shares as is set forth opposite such Buyer’s name in column (3) of the Schedule of Buyers, (B) a First Preferred Warrant to initially acquire up to that aggregate number of Warrant Preferred Shares as set forth opposite such Buyer’s name in column (4) on the Schedule of Buyers, and (C) a Second Preferred Warrant to initially acquire up to that aggregate number of Warrant Preferred Shares as set forth opposite such Xxxxx’s name in column (5) on the Schedule of Buyers, in each case, duly executed on behalf of the Company and registered in the name of such Buyer or its designee.</w:t>
        <w:br/>
        <w:t xml:space="preserve">  2. BUYER’S REPRESENTATIONS AND WARRANTIES.</w:t>
        <w:br/>
        <w:t xml:space="preserve">  Each Buyer, severally and not jointly, represents and warrants to the Company and the Target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Preferred Warrants, (ii) upon conversion of its Preferred Shares will acquire the Conversion Shares issuable upon conversion thereof and (iii) upon exercise of its Preferred Warrants will acquire the Warrant Preferred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3</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reasonably acceptable to the Company, in a form reasonably acceptable to the Company, to the effect that such Securities to be sold, assigned or transferred may be sold, assigned or transferred pursuant to an exemption from such registration, or (C) such Buyer provides the Company with reasonable assurance (including any certifications, representation letters or other documents reasonably requested by the Transfer Agent or counsel to the Company, but not including a legal opinion)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4</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 REPRESENTATIONS AND WARRANTIES OF THE COMPANY.</w:t>
        <w:br/>
        <w:t xml:space="preserve">  The Company represents and warrants to each of the Buyers that, as of the date hereof (solely with respect to the representations and warranties set forth in Sections 3(a) to 3(t), 3(ff), 3(kk) to 3(rr) and 3(ww) below) and as of the Closing Date with respect to all of the representations and warranties in this Section 3 as follows:</w:t>
        <w:br/>
        <w:t xml:space="preserve">  (a) Organization and Qualification. The Company and each of its Subsidiaries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Preferred Warrants and the reservation for issuance and issuance of the Warrant Preferred Shares issuable upon exercise of the Preferred Warrants) have been duly authorized by the Company’s board of directors or other governing body, as applicable, and (other than the filing with the SEC of one or more Registration Statements (as defined in the Registration Rights Agreement) in accordance with the requirements of the Registration Rights Agreement, a Form D with the SEC and any other filings as may be required by any state securities agencies or the Principal Market (defined below) and the filing with the State of Delaware of the Certificate of Designations)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will have been filed with the Secretary of State of the State of Delaware prior to the Closing and will be in full force and effect, enforceable against the Company in accordance with its terms on the Closing and will not have been amended. “Transaction Documents” means, collectively, this Agreement, the Preferred Shares, the Preferred Warrants, the Certificate of Designations, the Registration Rights Agreement, the Lock-Up Agreements (as defined below), the Target Purchase Agreements (as defined below),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6</w:t>
        <w:br/>
        <w:t xml:space="preserve">    (c) Issuance of Securities. The issuance of the Initial Preferred Shares is duly authorized and upon issuance in accordance with the terms of the Transaction Documents and upon payment therefor,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other than, for the avoidance of doubt, restrictions on transfer under the securities laws. The issuance of the Preferred Warrants is duly authorized and upon issuance in accordance with the terms of the Transaction Documents shall be validly issued and free from all Liens with respect to the issuance thereof. As of the Closing, the Company shall have reserved from its duly authorized capital stock not less than the sum of (i) 150% of the maximum number of Conversion Shares issuable upon conversion of the Preferred Shares (assuming for purposes hereof that (w) the Preferred Warrants have been exercised in full, (x) the Preferred Shares are convertible at the Floor Price (as defined in the Certificate of Designations) as of the date hereof, and (y) any such conversion shall not take into account any limitations on the conversion of the Preferred Shares set forth in the Certificate of Designations), and (ii) 100% of the maximum number of Warrant Preferred Shares initially issuable upon exercise of the Preferred Warrants (without taking into account any limitations on the exercise of the Preferred Warrants set forth therein). Upon issuance or conversion in accordance with the Certificate of Designations, or exercise in accordance with the Preferred Warrants (as the case may be), the Conversion Shares and the Warrant Preferred Shares, respectively, when issued and paid for, will be validly issued, fully paid and nonassessable and free from all preemptive or similar rights or Liens with respect to the issue thereof, other than, for the avoidance of doubt, restrictions on transfer under the securities laws, with the holders being entitled to all rights accorded to a holder of Common Stock or Preferred Shares, as the case may be.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Initial Preferred Shares, the Preferred Warrants, the Conversion Shares and the Warrant Preferred Shares and the reservation for issuance of the Conversion Shares and the Warrant Preferred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for which a consent or waiver has not been obtained,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7</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filings with the Principal Market, a Form D with the SEC and any other filings as may be required by any state securities agencies or the Principal Market (defined below) and the filing with the State of Delaware of the Certificate of Designations),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as of the Closing Date, neither the Company nor any of its Subsidiaries are aware of any facts or circumstances which might reasonably prevent the Company or any of its Subsidiaries from obtaining or effecting any of the registration, application or filings contemplated by the Transaction Documents. As of the Closing Date, the Company will not be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to which it is a party has been based solely on the independent evaluation by the Company and its respective representatives.</w:t>
        <w:br/>
        <w:t xml:space="preserve">    8</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(other than pursuant to the Registration Rights Agreement) or cause the offering of any of the Securities to be integrated with other offerings of securities of the Company.</w:t>
        <w:br/>
        <w:t xml:space="preserve">  (i) Dilutive Effect. The Company understands and acknowledges that the number of Conversion Shares will increase in certain circumstances. The Company further acknowledges that its obligation to issue the Conversion Shares pursuant to the terms of the Certificate of Designations and the Preferred Shares pursuant to this Agreement and the Certificate of Designations and the Warrant Preferred Shares upon exercise of the Preferred Warrants in accordance with this Agreement and the Preferred Warrants is, in each case, absolute and unconditional regardless of the dilutive effect that such issuance may have on the ownership interests of other stockholders of the Company.</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9</w:t>
        <w:br/>
        <w:t xml:space="preserve">    (k) SEC Documents; Financial Statements. Since the Company’s formation,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10</w:t>
        <w:br/>
        <w:t xml:space="preserve">    (l) Absence of Certain Changes. Since the date of the Company’s most recent audited financial statements contained in the SEC Documents, except as disclosed in the SEC Documents or as contemplated by the Business Combination,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the SEC Documents, except as disclosed in the SEC Documents or as contemplated by the Business Combination,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Company Insolvent (as defined below). For purposes of this Section 3(l), “Company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Except as disclosed in the SEC Documents or as contemplated by the Business Combination,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11</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 Foreign Corrupt Practices. Neither the Company, any of its Subsidiaries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12</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Except as described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below)),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(r) Equity Capitalization.</w:t>
        <w:br/>
        <w:t xml:space="preserve">  (i) Definitions:</w:t>
        <w:br/>
        <w:t xml:space="preserve">  (A) “Class A Common Stock” means the Company’s shares of Class A common stock, $0.0001 par value per share and (z) any capital stock into which such common stock shall have been changed or any share capital resulting from a reclassification of such common stock.</w:t>
        <w:br/>
        <w:t xml:space="preserve">    13</w:t>
        <w:br/>
        <w:t xml:space="preserve">    (B) “Common Stock” means (x) the Company’s shares of Class B common stock, $0.0001 par value per share, and (y) any capital stock into which such common stock shall have been changed or any share capital resulting from a reclassification of such common stock.</w:t>
        <w:br/>
        <w:t xml:space="preserve">  (C) “Preferred Stock” means (x) the Company’s blank check preferred stock, $0.0001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The SEC Documents set forth the capitalization of the Company as of the date hereof and the Closing Date. “Common Share Equivalents” means any capital stock or other security of any BC Entity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 (including, without limitation, pursuant to the Merger Agreement).</w:t>
        <w:br/>
        <w:t xml:space="preserve">  (iii) Valid Issuance; Available Shares; Affiliates. All outstanding shares are duly authorized and have been, or upon issuance will be, validly issued and are fully paid and nonassessable. Schedule 3(r)(iii) sets forth the number of shares of Common Stock that are (A) reserved for issuance pursuant to Common Share Equivalents (as defined below) (other than the Preferred Shares)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Except as set forth on Schedule 3(r)(iii),to the Company’s knowledge, no Person owns 10% or more of the Company’s issued and outstanding shares of Common Stock (calculated based on the assumption that all Common Share Equivalents,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14</w:t>
        <w:br/>
        <w:t xml:space="preserve">    (iv) Existing Securities; Obligations. Except as disclosed in Schedule 3(r)(iv):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except as set forth on Schedule 3(r)(iv),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Common Share Equivalents and the material rights of the holders thereof in respect thereto.</w:t>
        <w:br/>
        <w:t xml:space="preserve">    15</w:t>
        <w:br/>
        <w:t xml:space="preserve">    (s) Indebtedness and Other Contracts. Neither the Company nor any of its Subsidiaries, (i) except as disclosed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(as defined below)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that could reasonably be expected to result in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Other than claims that have historically been brought against blank check companies such as the Company following consummation of their business combinations, including but not limited to claims relating to breaches of fiduciary duty by directors of such a company or faulty valuations,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16</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 Title.</w:t>
        <w:br/>
        <w:t xml:space="preserve">  (i) Real Property. The Company and each of its Subsidiaries holds good title to all real property, leases in real property, facilities or other interests in real property owned or held by the Company or any of its Subsidiaries (the “Real Property”). The Real Property is free and clear of all Liens and is not subject to any rights of way, building use restrictions, exceptions, variances, reservations, or limitations of any nature except for (a) Liens for current taxes not yet due and (b) zoning laws and other easements and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17</w:t>
        <w:br/>
        <w:t xml:space="preserve">    (ii) Fixtures and Equipment. The Company and each of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18</w:t>
        <w:br/>
        <w:t xml:space="preserve">    (ii) No Hazardous Materials:</w:t>
        <w:br/>
        <w:t xml:space="preserve">  (1) have been disposed of or otherwise released from any Real Property of the Company or any of its Subsidiaries in violation of any Environmental Laws; or</w:t>
        <w:br/>
        <w:t xml:space="preserve">  (2)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19</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an 8-K Filing or the Press Release (each as defined below), as applicable,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Preferred Warrants or any other Transaction Document or any of the documents executed in connection herewith or therewith.</w:t>
        <w:br/>
        <w:t xml:space="preserve">    20</w:t>
        <w:br/>
        <w:t xml:space="preserve">    (ff) Manipulation of Price. Except as set forth on Schedule 3(ff),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(as defined in the Registration Rights Agreement) for resale by the Buyers using Form S-1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21</w:t>
        <w:br/>
        <w:t xml:space="preserve">    (kk)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(ll)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(mm) Management. During the past five-year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22</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(nn)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23</w:t>
        <w:br/>
        <w:t xml:space="preserve">    (pp)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(qq) Other Covered Persons. The Company is not aware of any Person that has been or will be paid (directly or indirectly) remuneration for solicitation of Buyers or potential purchasers in connection with the sale of any Regulation D Securities.</w:t>
        <w:br/>
        <w:t xml:space="preserve">  (rr) No Additional Agreements. The Company does not have any agreement or understanding with any Buyer with respect to the transactions contemplated by the Transaction Documents other than as specified in the Transaction Documents.</w:t>
        <w:br/>
        <w:t xml:space="preserve">  (ss) Public Utility Holding Act. None of the Company nor any of its Subsidiaries is a “holding company,” or an “affiliate” of a “holding company,” as such terms are defined in the Public Utility Holding Act of 2005.</w:t>
        <w:br/>
        <w:t xml:space="preserve">  (tt) Federal Power Act. None of the Company nor any of its Subsidiaries is subject to regulation as a “public utility” under the Federal Power Act, as amended.</w:t>
        <w:br/>
        <w:t xml:space="preserve">  (uu)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24</w:t>
        <w:br/>
        <w:t xml:space="preserve">    (vv)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its formation,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(ww)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25</w:t>
        <w:br/>
        <w:t xml:space="preserve">    3A. REPRESENTATIONS AND WARRANTIES OF TARGET.</w:t>
        <w:br/>
        <w:t xml:space="preserve">  The Target represents and warrants to each of the Buyers that, as of the date hereof and as of the Closing Date:</w:t>
        <w:br/>
        <w:t xml:space="preserve">  (a) Organization and Qualification. The Target and each Target Subsidiary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The Target and each of its Target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Target Material Adverse Effect (as defined below). As used in this Agreement, “Target Material Adverse Effect” means any material adverse effect on (i) the business, properties, assets, liabilities, operations (including results thereof), condition (financial or otherwise) or prospects of the Target or any Target Subsidiary, individually or taken as a whole, (ii) the transactions contemplated hereby or in any of the other Transaction Documents or any other agreements or instruments to be entered into in connection herewith or therewith or (iii) the authority or ability of the Target or any of its Target Subsidiaries to perform any of their respective obligations under any of the Transaction Documents (as defined below). Other than the Persons (as defined below) set forth on Schedule 3A(a), the Target has no Target Subsidiaries. “Target Subsidiaries” means any Person in which the Target,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“Target Subsidiary.” The Target Subsidiaries and the Subsidiaries are collectively referred to herein as the “BC Subsidiaries”, and together with the BC Parties, the “BC Entities”.</w:t>
        <w:br/>
        <w:t xml:space="preserve">  (b) Authorization; Enforcement; Xxxxxxxx. The Target has the requisite power and authority to enter into and perform its obligations under this Agreement and the other Transaction Documents. Each Target Subsidiary has the requisite power and authority to enter into and perform its obligations under the Transaction Documents to which it is a party. The execution and delivery of this Agreement and the other Transaction Documents by the Target and its Target Subsidiaries, and the consummation by the Target and its Target Subsidiaries of the transactions contemplated hereby and thereby have been duly authorized by the Target’s board of directors, and no further filing, consent or authorization is required by the Target, its Target Subsidiaries, their respective boards of directors or their stockholders or other governing body. This Agreement has been, and the other Transaction Documents to which it is a party will be prior to the Closing, duly executed and delivered by the Target, and each constitutes the legal, valid and binding obligations of the Target, enforceable against the Target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Target Subsidiary is a party will be duly executed and delivered by each such Target Subsidiary, and shall constitute the legal, valid and binding obligations of each such Target Subsidiary, enforceable against each such Target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w:t>
        <w:br/>
        <w:t xml:space="preserve">    26</w:t>
        <w:br/>
        <w:t xml:space="preserve">    (c) No Conflicts. The execution, delivery and performance of the Transaction Documents by the Target and its Target Subsidiaries and the consummation by the Target and its Target Subsidiaries of the transactions contemplated hereby and thereby will not (i) result in a violation of the certificate of formation, memorandum of association, articles of association, bylaws or other organizational documents of the Target or any of its Target Subsidiaries, or any capital stock or other securities of the Target or any of its Target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Target or any of its Target Subsidiaries is a party (including, without limitation, the Merger Agreement), or (iii) result in a violation of any law, rule, regulation, order, judgment or decree (including, without limitation, foreign, federal and state securities laws and regulations) applicable to the Target or any of its Target Subsidiaries or by which any property or asset of the Target or any of its Target Subsidiaries is bound or affected.</w:t>
        <w:br/>
        <w:t xml:space="preserve">  (d) Consents. Neither the Target nor any Target Subsidiary is required to obtain any consent from, authorization or order of, or make any filing or registration with any Governmental Entity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Target or any Target Subsidiary is required to obtain pursuant to the preceding sentence have been or will be obtained or effected on or prior to the Closing Date, and neither the Target nor any of its Target Subsidiaries are aware of any facts or circumstances which might prevent the Target or any of its Target Subsidiaries from obtaining or effecting any of the registration, application or filings contemplated by the Transaction Documents.</w:t>
        <w:br/>
        <w:t xml:space="preserve">  (e) No General Solicitation; Placement Agents’ Fees. Neither the Target, nor any of its Target Subsidiaries or affiliates, nor any Person acting on its or their behalf, has engaged in any form of general solicitation or general advertising (within the meaning of Regulation D) in connection with the offer or sale of the Securities. The Target shall be responsible for the payment of any placement agent’s fees, financial advisory fees, or brokers’ commissions (other than for Persons engaged by any Buyer or its investment advisor) relating to or arising out of the transactions contemplated hereby. The Target shall pay, and hold each Buyer harmless against, any liability, loss or expense (including, without limitation, attorney’s fees and out-of-pocket expenses) arising in connection with any such claim. Neither the Target nor any of its Target Subsidiaries has engaged any placement agent or other agent in connection with the offer or sale of the Securities.</w:t>
        <w:br/>
        <w:t xml:space="preserve">  (f) No Integrated Offering. None of the Target, its Target Subsidiaries or any of their affiliates, nor any Person acting on their behalf has, directly or indirectly, made any offers or sales of any security or solicited any offers to buy any security, under circumstances that would require registration of any of the Securities under the 1933 Act, whether through integration with prior offerings or otherwise, or cause this offering of the Securities to require approval of stockholders of the Target for purposes of the 1933 Act or under any applicable stockholder approval provisions, including, without limitation, under the rules and regulations of any exchange or automated quotation system on which any of the securities of the Target are listed or designated for quotation. None of the Target, its Target Subsidiaries, their affiliates nor any Person acting on their behalf will take any action or steps that would require registration of any of the Securities under the 1933 Act or cause the offering of any of the Securities to be integrated with other offerings of securities of the Target.</w:t>
        <w:br/>
        <w:t xml:space="preserve">    27</w:t>
        <w:br/>
        <w:t xml:space="preserve">    (g) Material Liabilities; Financial Information; Forecasts. Except as set forth on Schedule 3A(g)(i), as contemplated hereby or by the Business Combination, or as set forth in the SEC Documents, the Target has no liabilities or obligations, absolute or contingent (individually or in the aggregate), except obligations under contracts made in the ordinary course of business that as of the date of this Agreement would not be required to be reflected in financial statements prepared in accordance with GAAP, consistently applied for the periods covered thereby. The historical financial information of the Target delivered to the Buyers on or prior to the date hereof, and attached hereto as Schedule 3A(g)(ii) (collectively, the “Target Financial Statements”), fairly present in all material respects the financial position of the Target and its Target Subsidiaries, on a consolidated basis, at the respective dates thereof, subject to adjustments which are not expected to have a Target Material Adverse Effect on the Target and its Target Subsidiaries, taken as a whole. The forecasts and projections previously delivered to the Buyers by the Target and attached hereto as Schedule 3A(g)(iii) have been prepared in good faith and on the basis of assumptions that are fair and reasonable in light of current and reasonably foreseeable circumstances. No other information provided by or on behalf of the Target to any of the Buyers contains any untrue statement of a material fact or omits to state any material fact necessary in order to make the statements therein not misleading, in the light of the circumstance under which they are or were made. Other than the conversion from GAAP to GAAP and the adjustments related thereto, the Target is not currently contemplating to amend or restate any of the Target Financial Statements, nor is the Target currently aware of facts or circumstances which would require the Target to amend or restate any of the Target Financial Statements, in each case, in order for any of the Financials Statements to be in compliance with GAAP. The Target has not been informed by its independent accountants that they recommend that the Target amend or restate any of the Target Financial Statements or that there is any need for the Target to amend or restate any of the Target Financial Statements.</w:t>
        <w:br/>
        <w:t xml:space="preserve">  (h) Absence of Certain Changes. Since the date of the last audited Target Financial Statements, there has been no Target Material Adverse Effect on the Target and its Target Subsidiaries, taken as a whole. Specifically, except as set forth on Schedule 3A(h), the date of the last audited Target Financial Statements, except as contemplated hereby or by the Business Combination, neither the Target nor its Target Subsidiaries have:</w:t>
        <w:br/>
        <w:t xml:space="preserve">  (i) declared, set aside or paid any dividend or other distribution with respect to any shares of capital stock of the Target or any of its Target Subsidiaries or any direct or indirect redemption, purchase or other acquisition of any such shares;</w:t>
        <w:br/>
        <w:t xml:space="preserve">  (ii) sold, assigned, pledged, encumbered, transferred or other disposed of any tangible asset of the Target or any of its Target Subsidiaries (other than sales or the licensing of its products to customers in the ordinary course of business consistent with past practice), or sold, assigned, pledged, encumbered, transferred or other disposed of any Target Intellectual Property (other than licensing of products of the Target or its Target Subsidiaries in the ordinary course of business and on a non-exclusive basis);</w:t>
        <w:br/>
        <w:t xml:space="preserve">  (iii) entered into any licensing or other agreement with regard to the acquisition or disposition of any Target Intellectual Property other than licenses in the ordinary course of business consistent with past practice or any amendment or consent with respect to any licensing agreement filed or required to be filed with respect to any Governmental Entity;</w:t>
        <w:br/>
        <w:t xml:space="preserve">    28</w:t>
        <w:br/>
        <w:t xml:space="preserve">    (iv) capital expenditures, individually or in the aggregate, in excess of $100,000;</w:t>
        <w:br/>
        <w:t xml:space="preserve">  (v) any obligation or liability (whether absolute, accrued, contingent or otherwise, and whether due or to become due) incurred by the Target or any of its Target Subsidiaries, in excess of $100,000 individually, other than obligations under customer contracts, current obligations and liabilities, in each case incurred in the ordinary course of business and consistent with past practice;</w:t>
        <w:br/>
        <w:t xml:space="preserve">  (vi) any Lien on any property of the Target or any of its Target Subsidiaries except for Liens in existence on the date of this Agreement that are described on Schedules 3A(h)(vi).</w:t>
        <w:br/>
        <w:t xml:space="preserve">  (vii) any payment, discharge, satisfaction or settlement of any suit, action, claim, arbitration, proceeding or obligation of the Target or any of its Target Subsidiaries, except in the ordinary course of business and consistent with past practice;</w:t>
        <w:br/>
        <w:t xml:space="preserve">  (viii) any split, combination or reclassification of any equity securities;</w:t>
        <w:br/>
        <w:t xml:space="preserve">  (ix) any material loss, destruction or damage to any property of the Target or any Target Subsidiary, whether or not insured;</w:t>
        <w:br/>
        <w:t xml:space="preserve">  (x) any acceleration or prepayment of any Indebtedness (as defined below) for borrowed money or the refunding of any such Indebtedness;</w:t>
        <w:br/>
        <w:t xml:space="preserve">  (xi) any labor trouble involving the Target or any Target Subsidiary or any material change in their personnel or the terms and conditions of employment;</w:t>
        <w:br/>
        <w:t xml:space="preserve">  (xii) any waiver of any valuable right, whether by contract or otherwise;</w:t>
        <w:br/>
        <w:t xml:space="preserve">  (xiii) except as disclosed in Schedule 3A(h)(xiii), any loan or extension of credit to any officer or employee of the Target;</w:t>
        <w:br/>
        <w:t xml:space="preserve">  (xiv) any change in the independent public accountants of the Target or its Target Subsidiaries or any material change in the accounting methods or accounting practices followed by the Target or its Target Subsidiaries, as applicable, or any material change in depreciation or amortization policies or rates;</w:t>
        <w:br/>
        <w:t xml:space="preserve">  (xv) any resignation or termination of any officer, key employee or group of employees of the Target or any of its Target Subsidiaries;</w:t>
        <w:br/>
        <w:t xml:space="preserve">  (xvi) any change in any compensation arrangement or agreement with any employee, officer, director or stockholder that would result in the aggregate compensation to such Person in such year to exceed $200,000;</w:t>
        <w:br/>
        <w:t xml:space="preserve">    29</w:t>
        <w:br/>
        <w:t xml:space="preserve">    (xvii) any material increase in the compensation of employees of the Target or its Target Subsidiaries (including any increase pursuant to any written bonus, pension, profit sharing or other benefit or compensation plan, policy or arrangement or commitment), or any increase in any such compensation or bonus payable to any officer, stockholder, director, consultant or agent of the Target or any of its Target Subsidiaries having an annual salary or remuneration in excess of $200,000, except as may be provided in projections contained in Schedule 3A(h)(xvii);</w:t>
        <w:br/>
        <w:t xml:space="preserve">  (xviii) any revaluation of any of their respective assets, including, without limitation, writing down the value of capitalized inventory or writing off notes or accounts receivable or any sale of assets other than in the ordinary course of business; or</w:t>
        <w:br/>
        <w:t xml:space="preserve">  (xix) any acquisition or disposition of any material assets (or any contract or arrangement therefor), or any other material transaction by the Target or any Target Subsidiary otherwise than for fair value in the ordinary course of business.</w:t>
        <w:br/>
        <w:t xml:space="preserve">  (xx) written-down the value of any asset of the Target or its Target Subsidiaries or written-off as uncollectible of any accounts or notes receivable or any portion thereof except in the ordinary course of business and in a magnitude consistent with historical practice;</w:t>
        <w:br/>
        <w:t xml:space="preserve">  (xxi) cancelled any debts or claims or any material amendment, termination or waiver of any rights of the Target or its Target Subsidiaries; or</w:t>
        <w:br/>
        <w:t xml:space="preserve">  (xxii) any agreement, whether in writing or otherwise, to take any of the actions specified in the foregoing items (i) through (xxi).</w:t>
        <w:br/>
        <w:t xml:space="preserve">  Neither the Target nor any of its Target Subsidiaries has taken any steps to seek protection pursuant to any law or statute relating to bankruptcy, insolvency, reorganization, receivership, liquidation or winding up, nor does the Target or any Target Subsidiary have any knowledge or reason to believe that any of their respective creditors intend to initiate involuntary bankruptcy proceedings or any actual knowledge of any fact which would reasonably lead a creditor to do so. The Target and its Target Subsidiaries, individually and on a consolidated basis, are not as of the date hereof, and after giving effect to the transactions contemplated hereby to occur at the Closing, will not be Target Insolvent (as defined below). For purposes of this Section 3(A)(h), “Target Insolvent” means, (i) with respect to the Target and its Target Subsidiaries, on a consolidated basis, (A) the present fair saleable value of the Target’s and its Target Subsidiaries’ assets is less than the amount required to pay the Target’s and its Target Subsidiaries’ total Indebtedness (as defined below), (B) the Target and its Target Subsidiaries are unable to pay their debts and liabilities, subordinated, contingent or otherwise, as such debts and liabilities become absolute and matured or (C) the Target and its Target Subsidiaries intend to incur or believe that they will incur debts that would be beyond their ability to pay as such debts mature; and (ii) with respect to the Target and each Target Subsidiary, individually, (A) the present fair saleable value of the Target’s or such Target Subsidiary’s (as the case may be) assets is less than the amount required to pay its respective total Indebtedness, (B) the Target or such Target Subsidiary (as the case may be) is unable to pay its respective debts and liabilities, subordinated, contingent or otherwise, as such debts and liabilities become absolute and matured or (C) the Target or such Target Subsidiary (as the case may be) intends to incur or believes that it will incur debts that would be beyond its respective ability to pay as such debts mature. Neither the Target nor any of its Target Subsidiaries has engaged in any business or in any transaction, and is not about to engage in any business or in any transaction, for which the Target’s or such Target Subsidiary’s remaining assets constitute unreasonably small capital with which to conduct the business in which it is engaged as such business is now conducted and is proposed to be conducted.</w:t>
        <w:br/>
        <w:t xml:space="preserve">    30</w:t>
        <w:br/>
        <w:t xml:space="preserve">    (i) No Undisclosed Events, Liabilities, Developments or Circumstances. No event, liability, development or circumstance has occurred or exists, or is reasonably expected to exist or occur with respect to the Target, any of its Target Subsidiaries or any of their respective businesses, properties, liabilities, prospects, operations (including results thereof) or condition (financial or otherwise), that (i) could have a material adverse effect on any Buyer’s investment hereunder or (ii) could have a Target Material Adverse Effect. The reserves, if any, established by the Target or the lack of reserves, if applicable, are reasonable based upon facts and circumstances known by the Target on the date hereof and there are no loss contingencies that are required to be accrued by the Statement of Financial Accounting Standard No. 5 of the Financial Accounting Standards Board which are not provided for by the Target in its financial statements or otherwise.</w:t>
        <w:br/>
        <w:t xml:space="preserve">  (j) Conduct of Business; Regulatory Permits. Neither the Target nor any of its Target Subsidiaries is in violation of any term of or in default under its organizational documents, any certificate of designation, preferences or rights of any other outstanding series of preferred stock of the Target or any of its Target Subsidiaries or Bylaws or their organizational charter, certificate of formation, memorandum of association, articles of association or articles of incorporation or bylaws or other organizational documents, respectively. Neither the Target nor any of its Target Subsidiaries is in violation of any judgment, decree or order or any statute, ordinance, rule or regulation applicable to the Target or any of its Target Subsidiaries, and neither the Target nor any of its Target Subsidiaries will conduct its business in violation of any of the foregoing, except in all cases for possible violations which could not, individually or in the aggregate, have a Target Material Adverse Effect. The Target and each of its Target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Target Material Adverse Effect, and neither the Target nor any such Target Subsidiary has received any notice of proceedings relating to the revocation or modification of any such certificate, authorization or permit. There is no agreement, commitment, judgment, injunction, order or decree binding upon the Target or any of its Target Subsidiaries or to which the Target or any of its Target Subsidiaries is a party which has or would reasonably be expected to have the effect of prohibiting or materially impairing any business practice of the Target or any of its Target Subsidiaries, any acquisition of property by the Target or any of its Target Subsidiaries or the conduct of business by the Target or any of its Target Subsidiaries as currently conducted other than such effects, individually or in the aggregate, which have not had and would not reasonably be expected to have a Target Material Adverse Effect on the Target or any of its Target Subsidiaries.</w:t>
        <w:br/>
        <w:t xml:space="preserve">    31</w:t>
        <w:br/>
        <w:t xml:space="preserve">    (k) Foreign Corrupt Practices. Neither the Target, the Target’s subsidiary or any director, officer, agent, employee, nor any other person acting for or on behalf of the foregoing (individually and collectively, a “Target Affiliate”) have violated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Target or its Target Subsidiaries in obtaining or retaining business for or with, or directing business to, the Target or its Target Subsidiaries.</w:t>
        <w:br/>
        <w:t xml:space="preserve">  (l) Transactions With Affiliates. No current or former employee, partner, director, officer or stockholder (direct or indirect) of the Target or its Target Subsidiaries, or any associate, or, to the knowledge of the Target, any affiliate of any thereof, or any relative with a relationship no more remote than first cousin of any of the foregoing, is presently (i) a party to any transaction with the Target or its Target Subsidiaries (including any contract, agreement or other arrangement providing for the furnishing of services by, or rental of real or personal property from, or otherwise requiring payments to, any such director, officer or stockholder or such associate or affiliate or relative Target Subsidiaries (other than for ordinary course services as employees, officers or directors of the Target or any of its Target Subsidiaries)) or (ii) the direct or indirect owner of an interest in any corporation, firm, association or business organization which is a competitor, supplier or customer of the Target or its Target Subsidiaries (except for a passive investment (direct or indirect) in less than 5% of the common stock of a company whose securities are traded on or quoted through an Eligible Market), nor does any such Person receive income from any source other than the Target or its Target Subsidiaries which relates to the business of the Target or its Target Subsidiaries or should properly accrue to the Target or its Target Subsidiaries. No employee, officer, stockholder or director of the Target or any of its Target Subsidiaries or member of his or her immediate family is indebted to the Target or its Target Subsidiaries, as the case may be, nor is the Target or any of its Target Subsidiaries indebted (or committed to make loans or extend or guarantee credit) to any of them, other than (i) for payment of salary for services rendered, (ii) reimbursement for reasonable expenses incurred on behalf of the Target, and (iii) for other standard employee benefits made generally available to all employees or executives (including stock option agreements outstanding under any stock option plan approved by the Board of Directors of the Target).</w:t>
        <w:br/>
        <w:t xml:space="preserve">    32</w:t>
        <w:br/>
        <w:t xml:space="preserve">    (m) Indebtedness and Other Contracts. Neither the Target nor any of its Target Subsidiaries, (i) except as disclosed on Schedule 3A(m), has any outstanding debt securities, notes, credit agreements, credit facilities or other agreements, documents or instruments evidencing Indebtedness of the Target or any of its Target Subsidiaries or by which the Target or any of its Target Subsidiaries is or may become bound, (ii) is a party to any contract, agreement or instrument, the violation of which, or default under which, by the other party(ies) to such contract, agreement or instrument could reasonably be expected to result in a Target Material Adverse Effect, (iii) has any financing statements securing obligations in any amounts filed in connection with the Target or any of its Target Subsidiaries; (iv) is in violation of any term of, or in default under, any contract, agreement or instrument relating to any Indebtedness, except where such violations and defaults would not result, individually or in the aggregate, in a Target Material Adverse Effect, or (v) is a party to any contract, agreement or instrument relating to any Indebtedness, the performance of which, in the judgment of the Target’s officers, has or is expected to have a Target Material Adverse Effect.</w:t>
        <w:br/>
        <w:t xml:space="preserve">  (n) Litigation. There is no action, suit, arbitration, proceeding, inquiry or investigation before or by any court, public board, other Governmental Entity, self-regulatory organization or body pending or, to the knowledge of the Target, threatened against or affecting the Target or any of its Target Subsidiaries, or any of the Target’s or its Target Subsidiaries’ officers or directors, whether of a civil or criminal nature or otherwise, in their capacities as such, except as set forth in Schedule 3A(n). No director, officer or employee of the Target or any of its subsidiaries has willfully violated 18 U.S.C. §1519 or engaged in spoliation in reasonable anticipation of litigation. After reasonable inquiry of its employees, the Target is not aware of any fact which might result in or form the basis for any such action, suit, arbitration, investigation, inquiry or other proceeding. Neither the Target nor any of its Target Subsidiaries is subject to any order, writ, judgment, injunction, decree, determination or award of any Governmental Entity.</w:t>
        <w:br/>
        <w:t xml:space="preserve">  (o) Insurance. The Target and each of its Target Subsidiaries are insured by insurers of recognized financial responsibility against such losses and risks and in such amounts as management of the Target believes to be prudent and customary in the businesses in which the Target and its Target Subsidiaries are engaged. Neither the Target nor any such Target Subsidiary has been refused any insurance coverage sought or applied for, and neither the Target nor any such Target Subsidiary has any reason to believe that it will be unable to renew its existing insurance coverage as and when such coverage expires or to obtain similar coverage from similar insurers as may be necessary to continue its business at a cost that would not have a Target Material Adverse Effect.</w:t>
        <w:br/>
        <w:t xml:space="preserve">  (p) Employee Matters; Benefit Plans.</w:t>
        <w:br/>
        <w:t xml:space="preserve">  (i) Except as set forth on Schedule 3A(p)(i), the employment of each officer and employee of the Target is terminable at the will of the Target. The Target and its Target Subsidiaries have complied in all material respects with all applicable laws relating to wages, hours, equal opportunity, collective bargaining, workers’ compensation insurance and the payment of social security and other taxes. The Target is not aware that any officer, key employee or group of employees intends to terminate his, her or their employment with the Target or its Target Subsidiaries, as the case may be, nor does the Target have a present intention, or know of a present intention of its Target Subsidiaries, to terminate the employment of any officer, key employee or group of employees. There are no pending or, to the knowledge of the Target, threatened employment discrimination charges or complaints against or involving the Target or its Target Subsidiaries before any federal, state, or local board, department, commission or agency, or unfair labor practice charges or complaints, disputes or grievances affecting the Target or its Target Subsidiaries.</w:t>
        <w:br/>
        <w:t xml:space="preserve">    33</w:t>
        <w:br/>
        <w:t xml:space="preserve">    (ii) Since the Target’s inception, neither the Target nor its Target Subsidiaries has experienced any labor disputes, union organization attempts or work stoppage due to labor disagreements. There are no unfair labor practice charges or complaints against the Target or its Target Subsidiaries pending, or to the knowledge of the Target, threatened before the National Labor Relations Board or any comparable state agency or authority. There are no written or oral contracts, commitments, agreements, understandings or other arrangements with any labor organization, nor work rules or practices agreed to with any labor organization or employee association, applicable to employees of the Target or any of its Target Subsidiaries, nor is the Target or its Target Subsidiaries a party to, or bound by, any collective bargaining or similar agreement; there is not, and since the Target’s inception there has not been, any representation of the employees of the Target or its Target Subsidiaries by any labor organization and, to the knowledge of the Target, there are no union organizing activities among the employees of the Target or its Target Subsidiaries, and to the knowledge of the Target, no question concerning representation has been raised or is threatened respecting the employees of the Target or its Target Subsidiaries.</w:t>
        <w:br/>
        <w:t xml:space="preserve">  (iii) Schedule 3A(p)(iii) contains a true, correct and complete list of each pension, retirement, savings, deferred compensation and profit-sharing plan and each stock option, stock appreciation, stock purchase, performance share, bonus or other incentive plan, severance plan, health, group insurance or other welfare plan, or other similar plan (whether written or otherwise) and any “employee benefit plan” within the meaning of Section 3(3) of the Employee Retirement Income Security Act of 1974, as amended (“ERISA”), under which the Target has any current or future obligation or liability (including any potential, contingent or secondary liability under Title IV of ERISA) or under which any employee or former employee (or beneficiary of any employee or former employee) of the Target has or may have any current or future right to benefits (the term “plan” shall include any contract, agreement (including an employment or independent contractor agreement), policy or understanding, each such plan being hereinafter referred to in this Agreement individually as a “Benefit Plan”). The Target has delivered to each Buyer true, correct and complete copies of (i) each material Benefit Plan, including any amendments thereto, (ii) the summary plan description, if any, for each Benefit Plan, including any summaries of material modifications made since the most recent summary plan description, (iii) the latest annual report which has been filed with the Internal Revenue Service (the “IRS”) for each Benefit Plan required to file an annual report, if any, and (iv) the most recent IRS determination letter for each Benefit Plan that is a pension plan (as defined in ERISA) intended to be qualified under Section 401(a) of the Code. Each Benefit Plan intended to be tax qualified under Sections 401(a) and 501(a) of the Code is and has been determined by the IRS to be tax qualified under Sections 401(a) and 501(a) of the Code and, since such determination, no amendment to or failure to amend any such Benefit Plan and no other event or circumstance has occurred that could reasonably be expected to adversely affect its tax qualified status.</w:t>
        <w:br/>
        <w:t xml:space="preserve">    34</w:t>
        <w:br/>
        <w:t xml:space="preserve">    (iv) There are no actions, claims, audits, lawsuits or arbitrations pending, or, to the knowledge of the Target, threatened, with respect to any Benefit Plan or the assets of any Benefit Plan. Except as set forth in Schedule 3A(p)(iv), each Benefit Plan has been administered in all material respects in accordance with its terms and with all applicable Legal Requirements (as defined below) (including, without limitation, the Internal Revenue Code of 1986, as amended (the “Code”) and ERISA). “Legal Requirement” means any federal, state, local, municipal, foreign, international, multinational, or other administrative order, constitution, law, ordinance, principle of common law, regulation, statute, or treaty.</w:t>
        <w:br/>
        <w:t xml:space="preserve">  (v) Except as set forth in Schedule 3A(p)(v), the consummation of the transactions contemplated by this Agreement will not (1) entitle any employee or independent contractor of the Target or its Target Subsidiaries to severance pay or termination benefits, (2) accelerate the time of payment or vesting, or increase the amount of compensation due to any current or former employee or independent contractor of the Target or its Target Subsidiaries, (3) obligate the Target or any of its affiliates to pay or otherwise be liable for any compensation, vacation days, pension contribution or other benefits to any current or former employee, consultant, agent or independent contractor of the Target or its Target Subsidiaries for periods before the applicable Closing Date, (4) require assets to be set aside or other forms of security to be provided with respect to any liability under a Benefit Plan, or (5) result in any “parachute payment” (within the meaning of Section 280G of the Code) under any Benefit Plan.</w:t>
        <w:br/>
        <w:t xml:space="preserve">  (vi) No Benefit Plan is subject to the provisions of Section 412 of the Code or Part 3 of Subtitle B of Title I of ERISA. No Benefit Plan is subject to Title IV of ERISA and no Benefit Plan is a “multiemployer plan” (within the meaning of Section 3(37) of ERISA). Since inception, neither the Target, its Target Subsidiaries, nor any business or entity treated as a single employer with the Target or its Target Subsidiaries for purposes of Title IV of ERISA contributed to or was obliged to contribute to a pension plan that was at any time subject to Title IV of ERISA.</w:t>
        <w:br/>
        <w:t xml:space="preserve">  (vii) No Benefit Plan has provided, been required to provide, provides or is required to provide, at any time in the past, present, or future, health, medical, dental, accident, disability, death or survivor benefits to or in respect of any Person beyond one year following termination of employment, except to the extent required under any state insurance law or under Part 6 of Subtitle B of Title I of ERISA and under Section 4980B of the Code. No Benefit Plan covers any individual that is not an employee or advisor of the Target or its Target Subsidiaries, other than spouses and dependents of employees under health and child care policies listed in Schedule 3A(p)(vii), true and complete copies of which have been made available to each Buyer.</w:t>
        <w:br/>
        <w:t xml:space="preserve">  (viii) Except as otherwise permitted pursuant to employment agreements with the Target disclosed to the Buyers, each officer of the Target is currently devoting all of such officer’s business time to the conduct of the business of the Target. Except as otherwise permitted pursuant to employment agreements with the Target disclosed to the Buyers, the Target is not aware of any officer or key employee of the Target or any of its Target Subsidiaries planning to work less than full time at the Target or its Target Subsidiaries in the future.</w:t>
        <w:br/>
        <w:t xml:space="preserve">    35</w:t>
        <w:br/>
        <w:t xml:space="preserve">    (q) Assets; Title.</w:t>
        <w:br/>
        <w:t xml:space="preserve">  (i) Each of the Target and its Target Subsidiaries has good and valid title to, or a valid leasehold interest in, as applicable, all of its properties and assets, free and clear of all Liens except (i) any Lien for taxes not yet due or delinquent or being contested in good faith by appropriate proceedings for which adequate reserves have been established in accordance with GAAP, (ii) any statutory Lien arising in the ordinary course of business by operation of law with respect to a liability that is not yet due or delinquent, (iii) any Lien created by operation of law, such as materialmen’s liens, mechanics’ liens and other similar liens, arising in the ordinary course of business with respect to a liability that is not yet due or delinquent or that are being contested in good faith by appropriate proceedings, and (iv) such as have been disposed of in the ordinary course of business. All tangible personal property owned by the Target and its Target Subsidiaries has been maintained in good operating condition and repair, except (x) for ordinary wear and tear, and (y) where such failure would not have a Target Material Adverse Effect. All assets leased by the Target or any of its Target Subsidiaries are in the condition required by the terms of the lease applicable thereto during the term of such lease and upon the expiration thereof. The Target and its Target Subsidiaries have good and marketable title in fee simple to all real property, if any, and good and marketable title to all personal property owned by them which is material to the business of the Target and its Target Subsidiaries, in each case free and clear of all liens, encumbrances and defects except such Liens set forth in Schedule 3A(q)(i).</w:t>
        <w:br/>
        <w:t xml:space="preserve">  (ii) Schedule 3A(q)(ii) sets forth a complete list of all real property and interests in real property leased by the Target as of the date hereof (the “Target Real Property”). The Target has good and valid leasehold interest in all real property and interests in real property shown on Schedule 3A(q)(ii) to be leased by it free and clear of all Liens except where such Liens would not have a Target Material Adverse Effect. Except as set forth on Schedule 3A(q)(ii), there exists no default, or any event which upon notice or the passage of time, or both, would give rise to any default, in the performance of the Target or by any lessor under any such lease, nor, to the knowledge of the Target, is the landlord of any such lease in default except where any such default would not have a Target Material Adverse Effect.</w:t>
        <w:br/>
        <w:t xml:space="preserve">    36</w:t>
        <w:br/>
        <w:t xml:space="preserve">    (r) Intellectual Property.</w:t>
        <w:br/>
        <w:t xml:space="preserve">  (i) Except as set forth on Schedule 3A(r)(i), the Target and its Target Subsidiaries own all right, title and interest in and to, or have a valid and enforceable license to use all the Target Intellectual Property used by them in connection with the their respective businesses, which represents all intellectual property rights necessary to the conduct of the their business as now conducted. The Target and its Target Subsidiaries are in compliance with all contractual obligations relating to the protection of such of the Target Intellectual Property as they use pursuant to license or other agreement. The conduct of the business of the Target and its Target Subsidiaries, to the knowledge of the Target, as currently conducted, or as reasonably be expected to be conducted, does not, and is not reasonably expected to, conflict with or infringe any proprietary right or Target Intellectual Property of any third party, including, without limitation, the transmission, reproduction, use, display or modification of any content or material (including framing, and linking web site content) on a web site, bulletin board or other like medium hosted by or on behalf of the Target or any of its Target Subsidiaries, except for such infringements and conflicts which would not reasonably be expected to have a Target Material Adverse Effect. There is no claim, suit, action or proceeding pending or, to the knowledge of the Target, threatened against the Target or any Target Subsidiary: (i) alleging any such conflict or infringement with any third party’s proprietary rights; or (ii) challenging the Target’s or any Target Subsidiary’s ownership or use of, or the validity or enforceability of any Target Intellectual Property.</w:t>
        <w:br/>
        <w:t xml:space="preserve">  (ii) Schedule 3A(r)(ii) sets forth a complete and current list of registered trademarks or copyrights, issued patents, applications therefor, or other forms of Target Intellectual Property registration anywhere in the world that is owned by the Target or a Target Subsidiary (“Listed Target Intellectual Property”) and the owner of record, date of application or issuance and relevant jurisdiction as to each. All Listed Target Intellectual Property is owned by the Target or a Target Subsidiary, free and clear of security interests, liens, encumbrances or claims of any nature. All Listed Target Intellectual Property is valid, subsisting, unexpired, in proper form and enforceable and all renewal fees and other maintenance fees that have fallen due on or prior to the effective date of this Agreement have been paid. No Listed Target Intellectual Property is the subject of any proceeding before any governmental, registration or other authority in any jurisdiction, including any office action or other form of preliminary or final refusal of registration, except as noted on Schedule 3A(r)(ii). The consummation of the transactions contemplated hereby will not alter or impair any Target Intellectual Property that is owned or licensed by the Target or a Target Subsidiary.</w:t>
        <w:br/>
        <w:t xml:space="preserve">  (iii) Schedule 3A(r)(iii) sets forth a complete list of all agreements relating to Target Intellectual Property to which the Target or a Target Subsidiary is a party, subject or bound (the “Target Intellectual Property Contracts”) (other than agreements involving (A) the license of the Target of standard, generally commercially available “off-the-shelf” third party products that are not and will not to any extent be part of any product, service or intellectual property offering of the Target or (B) non-disclosure or non-use of information). Each Target Intellectual Property Contract: (i) is valid and binding on the Target or a Target Subsidiary, as the case may be, and, to the Target’s knowledge, the counterparties thereto, and is in full force and effect and (ii) upon consummation of the transactions contemplated hereby shall continue in full force and effect without penalty or other adverse consequence.</w:t>
        <w:br/>
        <w:t xml:space="preserve">  (iv) The Target and its Target Subsidiaries are not under any obligation to pay royalties or other payments in connection with any agreement, nor restricted from assigning their rights respecting Target Intellectual Property nor will the Target or any Target Subsidiary otherwise be, as a result of the execution and delivery of this Agreement or the performance of the Target’s obligations under this Agreement, in breach of any agreement relating to the Target Intellectual Property.</w:t>
        <w:br/>
        <w:t xml:space="preserve">    37</w:t>
        <w:br/>
        <w:t xml:space="preserve">    (v) Except as set forth on Schedule 3A(r)(v), no present or former employee, officer or director of the Target or any Target Subsidiary, or agent or outside contractor of the Target or any Target Subsidiary, holds any right, title or interest, directly or indirectly, in whole or in part, in or to any Target Intellectual Property that is owned or licensed by the Target or any Target Subsidiary.</w:t>
        <w:br/>
        <w:t xml:space="preserve">  (vi) To the Target’s knowledge: (i) none of the Listed Target Intellectual Property has been used, disclosed or appropriated to the detriment of the Target or any Target Subsidiary for the benefit of any Person other than the Target; and (ii) no employee, independent contractor or agent of the Target or any Target Subsidiary has misappropriated any trade secrets or other confidential information of any other Person in the course of the performance of his or her duties as an employee, independent contractor or agent of the Target or any Target Subsidiary.</w:t>
        <w:br/>
        <w:t xml:space="preserve">  (vii) Any programs, modifications, enhancements or other inventions, improvements, discoveries, methods or works of authorship (“Target Works”) that were created by employees of the Target or any Target Subsidiary were made in the regular course of such employees’ employment or service relationships with the Target or its Target Subsidiary using the Target’s or the Target Subsidiary’s facilities and resources and, as such, constitute either works made for hire or all rights and title to and in such Target Works have been fully assigned to the Target or a Target Subsidiary. Each such employee who has created Target Works or any employee who in the regular course of his employment may create Target Works and all consultants have signed an assignment or similar agreement with the Target or the Target Subsidiary confirming the Target’s or the Target Subsidiary’s ownership or, in the alternate, transferring and assigning to the Target or the Target Subsidiary all right, title and interest in and to such programs, modifications, enhancements or other inventions including copyright and other intellectual property rights therein.</w:t>
        <w:br/>
        <w:t xml:space="preserve">  (viii) For the purpose of this Agreement, “Target Intellectual Property” shall mean all of the following: (A) trademarks and service marks, trade dress, product configurations, trade names and other indications of origin, applications or registrations in any jurisdiction pertaining to the foregoing and all goodwill associated therewith; (B) inventions, discoveries, improvements, ideas, know-how, formula methodology, processes, technology, software (including password unprotected interpretive code or source code, object code, development documentation, programming tools, drawings, specifications and data) and applications and patents in any jurisdiction pertaining to the foregoing, including re-issues, continuations, divisions, continuations-in-part, renewals or extensions; (C) trade secrets, including confidential information and the right in any jurisdiction to limit the use or disclosure thereof; (D) copyrights in writings, designs software, mask works or other works, applications or registrations in any jurisdiction for the foregoing and all moral rights related thereto; (E) database rights; (F) internet websites, domain names and applications and registrations pertaining thereto and all intellectual property used in connection with or contained in all versions of the Target’s Web sites; (G) rights under all agreements relating to the foregoing; (H) books and records pertaining to the foregoing; and (I) claims or causes of action arising out of or related to past, present or future infringement or misappropriation of the foregoing.</w:t>
        <w:br/>
        <w:t xml:space="preserve">    38</w:t>
        <w:br/>
        <w:t xml:space="preserve">    (s) Environmental Laws.</w:t>
        <w:br/>
        <w:t xml:space="preserve">  (i) The Target and its Target Subsidiaries (A) are in compliance with any and all Environmental Laws,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Target Material Adverse Effect.</w:t>
        <w:br/>
        <w:t xml:space="preserve">  (ii) No Hazardous Materials:</w:t>
        <w:br/>
        <w:t xml:space="preserve">  (1) have been disposed of or otherwise released from any Real Property of the Target or any of its Target Subsidiaries in violation of any Environmental Laws; or</w:t>
        <w:br/>
        <w:t xml:space="preserve">  (2) are present on, over, beneath, in or upon Target Real Property or any portion thereof in quantities that would constitute a violation of any Environmental Laws. No prior use by the Target or any of its Target Subsidiaries of any Target Real Property has occurred that violates any Environmental Laws, which violation would have a material adverse effect on the business of the Target or any of its Target Subsidiaries.</w:t>
        <w:br/>
        <w:t xml:space="preserve">  (iii) Neither the Target nor any of its Target Subsidiaries knows of any other person who or entity which has stored, treated, recycled, disposed of or otherwise located on any Target Real Property any Hazardous Materials, including, without limitation, such substances as asbestos and polychlorinated biphenyls.</w:t>
        <w:br/>
        <w:t xml:space="preserve">  (iv) None of the Real Properties are on any federal or state “Superfund” list or CERCLIS list or any state environmental agency list of sites under consideration for CERCLIS, nor subject to any environmental related Liens.</w:t>
        <w:br/>
        <w:t xml:space="preserve">  (t) Target Subsidiary Rights. The Target or one of its Target Subsidiaries has the unrestricted right to vote, and (subject to limitations imposed by applicable law) to receive dividends and distributions on, all capital securities of its Target Subsidiaries as owned by the Target or such Target Subsidiary.</w:t>
        <w:br/>
        <w:t xml:space="preserve">    39</w:t>
        <w:br/>
        <w:t xml:space="preserve">    (u) Tax Status.</w:t>
        <w:br/>
        <w:t xml:space="preserve">  (i) Each of the Target and, except as set forth in Schedule 3A(u)(i), the Target Subsidiaries has filed or caused to be filed in a timely manner (within any applicable extension periods) and in the appropriate jurisdictions all material returns, reports, information statements and other documentation (including any additional or supporting materials) filed or maintained, or required to be filed or maintained, in connection with the calculation, determination, assessment or collection of any and all federal, state, local, foreign and other taxes, levies, fees, imposts, duties, governmental fees and charges of whatever kind (including any interest, penalties or additions to the tax imposed in connection therewith or with respect thereto), including, without limitation, taxes imposed on, or measured by, income, franchise, profits, gross income or gross receipts, and also ad valorem, value added, sales, use, service, real or personal property, capital stock, stock transfer, license, payroll, withholding, employment, social security, workers’ compensation, unemployment compensation, utility, severance, production, excise, stamp, occupation, premium, windfall profits, environmental, transfer and gains taxes and customs duties (each a “Target Tax”) and shall include amended returns required as a result of examination adjustments made by the IRS or other Governmental Entity responsible for the imposition of any Target Tax (collectively, the “Target Returns”) and such Target Returns are true, correct and complete in all material respects.</w:t>
        <w:br/>
        <w:t xml:space="preserve">  (ii) Each of the Target and the Target Subsidiaries has paid all material Target Taxes and other assessments due from and payable by the Target and the Target Subsidiaries on or prior to the date hereof on a timely basis except as to those set forth in Schedule 3A(u)(ii). The charges, accruals, and reserves for Target Taxes with respect to the Target and the Target Subsidiaries are adequate to cover Target Tax liabilities of the Target and the Target Subsidiaries accruing throughout the date thereof. Except as set forth in Schedule 3A(u)(ii), each of the Target and the Target Subsidiaries has complied in all material respects with all applicable Legal Requirements relating to the payment and withholding of Target Taxes (including withholding and reporting requirements under Sections 1441 through 1464, 3401 through 3406, and 6041 and 6049 of the Code and similar provisions under any other applicable Legal Requirements) and, within the time and in the manner prescribed by law, has withheld from wages, fees and other payments and paid over to the proper governmental or regulatory authorities all amounts required. Except as set forth in Schedule 3A(u)(ii), neither the Target nor any of the Target Subsidiaries has received notice of assessment or proposed assessment of any Target Taxes claimed to be owed by it or any other Person on its behalf. Except as set forth in Schedule 3A(u)(ii), no Target Returns filed by or on behalf of the Target or any of the Target Subsidiaries with respect to Target Taxes are currently being audited or examined. Except as set forth in Schedule 3A(u)(ii), neither the Target nor any of the Target Subsidiaries has received notice of any such audit or examination. Except as set forth in Schedule 3A(u)(ii), no issue has been raised by any taxing authority with respect to the Target or any of the Target Subsidiaries in any audit or examination which, by application of similar principles, could reasonably be expected to result in a proposed material adjustment to the liability for Target Taxes for any period not so examined.</w:t>
        <w:br/>
        <w:t xml:space="preserve">    40</w:t>
        <w:br/>
        <w:t xml:space="preserve">    (iii) Except as set forth in Schedule 3A(u)(iii), no known Liens have been filed and no claims are being asserted by or against the Target or any of the Target Subsidiaries with respect to any Target Taxes (other than Liens for Target Taxes not yet due and payable). Neither the Target nor any of the Target Subsidiaries has elected pursuant to the Code to be treated as an S corporation or any comparable provision of local, state or foreign law, or has made any other elections pursuant to the Code (other than elections that relate solely to entity classification, methods of accounting, depreciation, or amortization) that would have a material effect on the business, properties, prospects, or financial condition of the Target and the Target Subsidiaries, individually or in the aggregate.</w:t>
        <w:br/>
        <w:t xml:space="preserve">  (iv) No claim has ever been made, or, to the knowledge of the Target, is threatened or pending, by any authority in a jurisdiction where the Target or any of the Target Subsidiaries, respectively, does not file Target Returns that the Target or any of the Target Subsidiaries is or may be subject to taxation by that jurisdiction, and neither the Target nor any of the Target Subsidiaries has received any notice or request for information from any such authority. Neither the Target nor any of the Target Subsidiaries has been a member of an affiliated group (as defined in Section 1504(a) of the Code) or filed or been included in a combined, consolidated or unitary income tax return other than the affiliated group of which the Target is currently the common parent. Neither the Target nor any of the Target Subsidiaries is required to include in income any adjustment pursuant to Section 481(a) of the Code by reason of a voluntary change in accounting methods initiated by the Target or any of the Target Subsidiaries, and no Governmental Entity has proposed an adjustment or change in accounting method. All transactions or methods of accounting that could give rise to a substantial understatement of federal income tax as described in Section 6662(d)(2)(B)(i) of the Code have been adequately disclosed on the Target’s and the Target Subsidiaries’ federal income tax returns in accordance with Section 6662(d)(2)(B) of the Code. Neither the Target nor any of the Target Subsidiaries is a party to any Target Tax sharing or Target Tax indemnity agreement or any other agreement of a similar nature that remains in effect. Neither the Target nor any of the Target Subsidiaries has consented to any waiver of the statute of limitations for the assessment of any Target Taxes or has requested any extension of time for the payment of any Target Taxes. Neither the Target nor any of the Target Subsidiaries has ever held a material beneficial interest in any other Person, other than those listed in Schedule 3A(u)(iv). Neither the Target nor any of the Target Subsidiaries is obligated to make, nor as a result of any event connected with the transactions contemplated by this Agreement will become obligated to make, any payment that would not be deductible under Section 280G of the Code.</w:t>
        <w:br/>
        <w:t xml:space="preserve">  (v) Internal Accounting and Disclosure Controls. The Target and each of its Target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that accurately reflect the current status of the business of the Target and its Target Subsidiaries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Neither the Target nor any of its Target Subsidiaries has received any notice or correspondence from any accountant, Governmental Entity or other Person relating to any potential material weakness or significant deficiency in any part of the internal controls over financial reporting of the Target or any of its Target Subsidiaries.</w:t>
        <w:br/>
        <w:t xml:space="preserve">    41</w:t>
        <w:br/>
        <w:t xml:space="preserve">    (w) Off Balance Sheet Arrangements. There is no transaction, arrangement, or other relationship between the Target or any of its Target Subsidiaries and an unconsolidated or other off balance sheet entity that is required to be disclosed by the Target in its Target Financial Statements and is not so disclosed or that otherwise could be reasonably likely to have a Target Material Adverse Effect.</w:t>
        <w:br/>
        <w:t xml:space="preserve">  (x) Illegal or Unauthorized Payments; Political Contributions. Neither the Target nor any of its Target Subsidiaries nor, to the best of the Target’s knowledge (after reasonable inquiry of its officers and directors), any of the officers, directors, employees, agents or other representatives of the Target or any of its Target Subsidiaries or any other business entity or enterprise with which the Target or any Target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Target or any of its Target Subsidiaries.</w:t>
        <w:br/>
        <w:t xml:space="preserve">  (y) Money Laundering. The Target and its Target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(z) Books and Records. The books of account, ledgers, order books, records and documents of the Target and its Target Subsidiaries accurately and completely reflect all information relating to the respective businesses of the Target and its Target Subsidiaries, the nature, acquisition, maintenance, location and collection of each of their respective assets, and the nature of all transactions giving rise to material obligations or accounts receivable of the Target or its Target Subsidiaries, as the case may be, except where the failure to so reflect such information would not have a Target Material Adverse Effect. The minute books of the Target and its Target Subsidiaries contain accurate records of all meetings and accurately reflect all other actions taken by the stockholders, boards of directors and all committees of the boards of directors, and other governing Persons of the Target and its Target Subsidiaries, respectively.</w:t>
        <w:br/>
        <w:t xml:space="preserve">    42</w:t>
        <w:br/>
        <w:t xml:space="preserve">    (aa) Management. Except as set forth in Schedule 3A(aa)hereto, during the past five year period, no current or former officer or director or, to the knowledge of the Target, no current ten percent (10%) or greater stockholder of the Target or any of its Target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43</w:t>
        <w:br/>
        <w:t xml:space="preserve">    (bb) No Disagreements with Accountants and Lawyers. There are no material disagreements of any kind presently existing, or reasonably anticipated by the Target to arise, between the Target and the accountants and lawyers formerly or presently employed by the Target and the Target is current with respect to any fees owed to its accountants and lawyers which could affect the Target’s ability to perform any of its obligations under any of the Transaction Documents. In addition, on or prior to the date hereof, the Target had discussions with its accountants about its financial statements. Based on those discussions, the Target has no reason to believe that it will need to restate any such financial statements or any part thereof.</w:t>
        <w:br/>
        <w:t xml:space="preserve">  (cc) Cybersecurity. The Target and its Target Subsidiaries’ IT Systems are adequate for, and operate and perform in all material respects as required in connection with the operation of the business of the Target and its Target Subsidiaries as currently conducted, free and clear of all material bugs, errors, defects, Trojan horses, time bombs, malware and other corruptants that would reasonably be expected to have a Material Adverse Effect on the Target’s business. The Target and its Target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Target and its Target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(dd) Compliance with Data Privacy Laws. The Target and its Target Subsidiaries are, and at all prior times were, in compliance with all applicable state and federal Privacy Laws except in each case, where such would not, either individually or in the aggregate, reasonably be expected to result in a Material Adverse Effect. To ensure compliance with the Privacy Laws, the Target and its Target Subsidiaries have in place, comply with, and take appropriate steps reasonably designed to ensure compliance in all material respects with their Policies. The Target and its Target Subsidiaries have at all times made all disclosures to users or customers required by applicable laws and regulatory rules or requirements, and none of such disclosures made or contained in any Policy have, to the knowledge of the Target, been inaccurate or in violation of any applicable laws and regulatory rules or requirements in any material respect. The Target further certifies that neither it nor any Target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44</w:t>
        <w:br/>
        <w:t xml:space="preserve">    (ee) Disclosure. No statement made by the Target in this Agreement, any other Transaction Document or the exhibits and schedules attached hereto or in any certificate or schedule furnished or to be furnished by or on behalf of the Target to the Investors or any of their representatives in connection with the transactions contemplated hereby contains any untrue statement of a material fact or omits to state a material fact necessary in order to make the statements contained herein or therein not misleading. The due diligence materials previously provided by or on behalf of the Target to each Buyer (if any) (the “Due Diligence Materials”), have been prepared in a good faith effort by the Target to describe the Target’s present and proposed products, and projected growth of the Target and do not contain any untrue statement of a material fact or omit to state a material fact necessary to make the statements therein not misleading, except that with respect to assumptions, projections and expressions of opinion or predictions contained in the Due Diligence Materials, the Target represents only that such assumptions, projections, expressions of opinion and predictions were made in good faith and that the Target believes there is a reasonable basis therefor. The Target acknowledges and agrees that no Buyer makes or has made any representations or warranties with respect to the transactions contemplated hereby other than those specifically set forth in Section 2.</w:t>
        <w:br/>
        <w:t xml:space="preserve">  4. COVENANTS.</w:t>
        <w:br/>
        <w:t xml:space="preserve">  (a) Best Efforts. Each Buyer shall use its best efforts to timely satisfy each of the covenants hereunder and conditions to be satisfied by it as provided in Section 6 of this Agreement. Each BC Party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each BC Party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reasonably necessary to maintain its eligibility to register the Registrable Securities for resale by the Buyers on Form S-3.</w:t>
        <w:br/>
        <w:t xml:space="preserve">    45</w:t>
        <w:br/>
        <w:t xml:space="preserve">    (d) 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Xxxxxx Xxxx &amp; Xxxxxx LLP a non-accountable amount of $30,000 for all costs and expenses incurred in connection with the structuring, documentation, negotiation and closing of the transactions contemplated by the Transaction Documents (the “Transaction Expenses”) that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46</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On or before 9:30 a.m., New York time, on the fourth (4th) Business Day after the date of this Agreement, the SPAC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Target Purchase Agreement, the form of Lock-Up Agreements, the Preferred Warrants the form of Certificate of Designations and the form of the Registration Rights Agreement) (including all attachments, the “8-K Filing”). From and after the filing of the 8-K Filing, the SPAC shall have disclosed all material, non-public information (if any) provided to any of the Buyers by any BC Entity or any of its Subsidiaries or any of their respective officers, directors, employees or agents in connection with the transactions contemplated by the Transaction Documents. In addition, effective upon the filing of the 8-K Filing, each BC Entity acknowledges and agrees that any and all confidentiality or similar obligations under any agreement, whether written or oral, between any BC Entity, any of its Subsidiaries or any of their respective officers, directors, affiliates, employees or agents, on the one hand, and any of the Buyers or any of their affiliates, on the other hand, shall terminate.</w:t>
        <w:br/>
        <w:t xml:space="preserve">    47</w:t>
        <w:br/>
        <w:t xml:space="preserve">    (ii) Limitations on Disclosure. No BC Party shall, and the BC Parties shall cause each BC Entity and each of its and their respective officers, directors, employees and agents not to, provide any Buyer with any material, non-public information regarding any BC Entity from and after the date hereof without the express prior written consent of such Buyer (which may be granted or withheld in such Buyer’s sole discretion). In the event of a breach of any of the foregoing covenants, including, without limitation, Section 4(p) of this Agreement, or any of the covenants or agreements contained in any other Transaction Document, by any BC Entity,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any BC Entity, or any of its or their respective officers, directors, employees or agents. No Buyer shall have any liability to any BC Entity, or any of its or their respective officers, directors, employees, affiliates, stockholders or agents, for any such disclosure. To the extent that any BC Entity delivers any material, non-public information to a Buyer without such Xxxxx’s consent, each BC Party hereby covenants and agrees that such Buyer shall not have any duty of confidentiality with respect to, or a duty not to trade on the basis of, such material, non-public information. Subject to the foregoing, neither the BC Entities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except as otherwise required by law,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each BC Party expressly acknowledges and agrees that no Buyer shall have (unless expressly agreed to by a particular Buyer after the date hereof in a written definitive and binding agreement executed by the applicable BC Party and such particular Buyer (it being understood and agreed that no Buyer may bind any other Buyer with respect thereto)), any duty of confidentiality with respect to, or a duty not to trade on the basis of, any material, non-public information regarding any BC Entity.</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any registration statement as provided for in the Registration Rights Agreement, a registration statement on Form S-4 or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earlier of (x)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48</w:t>
        <w:br/>
        <w:t xml:space="preserve">    (k) [Intentionally Omitted].</w:t>
        <w:br/>
        <w:t xml:space="preserve">  (l) Conduct of Business. The business of the BC Entities shall not be conducted in violation of any law, ordinance or regulation of any Governmental Entity, except where such violations would not reasonably be expected to result, either individually or in the aggregate, in a Material Adverse Effect.</w:t>
        <w:br/>
        <w:t xml:space="preserve">  (m) [Intentionally Omitted].</w:t>
        <w:br/>
        <w:t xml:space="preserve">  (n) [Intentionally Omitted].</w:t>
        <w:br/>
        <w:t xml:space="preserve">  (o) Participation Right. At any time any Preferred Shares remain outstanding, neither the Company nor any of its Subsidiaries shall, directly or indirectly, effect any direct, or indirect, issuance, offer, sale, grant of any option or right to purchase, or otherwise disposal of (or announcement of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debt, any preferred stock or any purchase rights) by the Company or any of its Subsidiaries (each, a “Subsequent Placement”) unless the Company shall have first complied with this Section 4(p). The Company acknowledges and agrees that the right set forth in this Section 4(p) is a right granted by the Company, separately, to each Buyer.</w:t>
        <w:br/>
        <w:t xml:space="preserve">  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10% of the Offered Securities, provided that the number of Offered Securities which such Buyer shall have the right to subscribe for under this Section 4(p) shall be (x) based on such Buyer’s pro rata portion of the aggregate number of the Preferred Shares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49</w:t>
        <w:br/>
        <w:t xml:space="preserve">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50</w:t>
        <w:br/>
        <w:t xml:space="preserve">    In the event the Company shall propose to sell less than all the Refused Securities (any such sale to be in the manner and on the terms specified in Section 4(p)(iii)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4(p)(ii) above multiplied by a fraction, (i) the numerator of which shall be the number or amount of Offered Securities the Company actually proposes to issue, sell or exchange (including Offered Securities to be issued or sold to Buyers pursuant to this Section 4(p)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4(p)(i) above.</w:t>
        <w:br/>
        <w:t xml:space="preserve">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4(p)(iv)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Any Offered Securities not acquired by a Buyer or other Persons in accordance with this Section 4(p) may not be issued, sold or exchanged until they are again offered to such Buyer under the procedures specified in this Agreement.</w:t>
        <w:br/>
        <w:t xml:space="preserve">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51</w:t>
        <w:br/>
        <w:t xml:space="preserve">    Notwithstanding anything to the contrary in this Section 4(p)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4(p). The Company shall not be permitted to deliver more than one such Offer Notice to such Buyer in any sixty (60) day period, except as expressly contemplated by the last sentence of Section 4(p)(ii).</w:t>
        <w:br/>
        <w:t xml:space="preserve">  The restrictions contained in this Section 4(p) shall not apply in connection with the issuance of any Excluded Securities. The Company shall not circumvent the provisions of this Section 4(p) by providing terms or conditions to one Buyer that are not provided to all.</w:t>
        <w:br/>
        <w:t xml:space="preserve">  (p) Passive Foreign Investment Company. So long as any Preferred Shares are outstanding,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(q) Restriction on Redemption and Cash Dividends. So long as any Preferred Shares are outstanding, the Company shall not, directly or indirectly, redeem, or declare or pay any cash dividend or distribution on, any securities of the Company without the prior express written consent of the Buyers (other than as required by the Certificate of Designations).</w:t>
        <w:br/>
        <w:t xml:space="preserve">  (r) Corporate Existence. So long as any Buyer beneficially owns any Preferred Shares or Preferred Warrants, the Company shall not be party to any Fundamental Transaction (as defined in the Certificate of Designations) unless the Company is in compliance with the applicable provisions governing Fundamental Transactions set forth in the Certificate of Designations and the Preferred Warrants.</w:t>
        <w:br/>
        <w:t xml:space="preserve">  (s) Conversion and Exercise Procedures. Each of the form of Exercise Notice (as defined in the Preferred Warrants) included in the Preferred Warrants and the form of Conversion Notice (as defined in the Certificate of Designations) included in the Certificate of Designations set forth the totality of the procedures required of the Buyers in order to exercise the Preferred Warrants or convert the Preferred Shares. Except as provided in Section 5(d), no additional legal opinion, other information or instructions shall be required of the Buyers to exercise their Preferred Warrants or convert their Preferred Shares. The Company shall honor exercises of the Preferred Warrants and conversions of the Preferred Shares and shall deliver the Conversion Shares and Warrant Preferred Shares in accordance with the terms, conditions and time periods set forth in the Certificate of Designations and Preferred Warrants, respectively. Without limiting the preceding sentences, no ink-original Conversion Notice or Exercise Notice, as applicable, shall be required, nor shall any medallion guarantee (or other type of guarantee or notarization) of any Conversion Notice or Exercise Notice, as applicable, form be required in order to convert the Preferred Shares or exercise the Preferred Warrants, respectively.</w:t>
        <w:br/>
        <w:t xml:space="preserve">    52</w:t>
        <w:br/>
        <w:t xml:space="preserve">    (t) Regulation M. The Company will not take any action prohibited by Regulation M under the 1934 Act, in connection with the distribution of the Securities contemplated hereby.</w:t>
        <w:br/>
        <w:t xml:space="preserve">  (u)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(v)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(w)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(x) Stockholder Approval. Prior to the Closing Date, the Company shall hold a special meeting of stockholders (which may also be at the annual meeting of stockholders) providing for the approval of the issuance of all of the Securities in compliance with the rules and regulations of the Principal Market (without regard to any limitation on conversion or exercise thereof) (the “Stockholder Approval”), with the recommendation of the Company’s Board of Directors that such proposal be approved, and the Company shall solicit proxies from its stockholders in connection therewith in the same manner as all other management proposals in such proxy statement and all management-appointed proxyholders shall vote their proxies in favor of such proposal.</w:t>
        <w:br/>
        <w:t xml:space="preserve">  (y) Lock-Up Agreements. The Company shall not amend, modify, waive or terminate any provision of any of the Lock-Up Agreements except to extend the term of any lock-up period therein and shall enforce the provisions of each Lock-Up Agreement in accordance with its terms. If any party to a Lock-Up Agreement breaches any provision of a Lock-Up Agreement, the Company shall promptly use its best efforts to obtain specific performance of the terms of such Lock-Up Agreement. Notwithstanding the foregoing, no Buyer shall be a third party beneficiary of any Lock-Up Agreement.</w:t>
        <w:br/>
        <w:t xml:space="preserve">  (z)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53</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Preferred Warrants in which the Company shall record the name and address of the Person in whose name the Preferred Shares and the Preferred Warrants have been issued (including the name and address of each transferee), the aggregate number of the Preferred Shares held by such Person and the number of Conversion Shares issuable pursuant to the terms of the Certificate of Designations and the aggregate number of Warrant Preferred Shares issuable upon exercise of the Preferred Warrants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Preferred Shares. The Company represents and warrants that no instruction other than the Irrevocable Transfer Agent Instructions referred to in this Section 5(b), and stop transfer instructions to give effect to Section 2(g) hereof, will be given by the Company to the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the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54</w:t>
        <w:br/>
        <w:t xml:space="preserve">    (c) Legends. Each Buyer understands that the Securities have been issued (or will be issued in the case of the Conversion Shares and the Warrant Preferred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Deposit/Withdrawal at Custodian system or (B) if the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55</w:t>
        <w:br/>
        <w:t xml:space="preserve">    (e) Failure to Timely Deliver; Buy-In. If the Company fails, for any reason or for no reason, to issue and deliver (or cause to be delivered) to a Buyer (or its designee) by the Required Delivery Date, either (I) if the Transfer Agent is not participating in FAST or such Securities are Warrant Preferred Shares, a certificate for the number of Warrant Preferred Shares, Conversion Shares to which such Buyer is entitled and register such Warrant Preferred Shares, Conversion Shares on the Company’s share register or, if the Transfer Agent is participating in FAST and such Securities are Conversion Shares,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electronically without any restrictive legend by crediting such aggregate number of Conversion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1%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one (1) Trading Day after such Buyer’s request and in such Buyer’s discretion, either (i) pay cash to such Buyer in an amount equal to such Buyer’s total purchase price (including brokerage commissions, stock loan costs and other out-of-pocket expenses, if any) for the shares of Common Stock so acquired (including, without limitation, by any other Person in respect, or on behalf, of the holder)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Certificate of Designations) of the Common Stock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Certificate of Designations with respect to the Preferred Shares then held by such Buyer.</w:t>
        <w:br/>
        <w:t xml:space="preserve">    56</w:t>
        <w:br/>
        <w:t xml:space="preserve">    (f) FAST Compliance. While any Preferred Warrants or Preferred Shares remain outstanding, the Company shall maintain a transfer agent that participates in FAST.</w:t>
        <w:br/>
        <w:t xml:space="preserve">  6. CONDITIONS TO THE COMPANY’S OBLIGATION TO SELL.</w:t>
        <w:br/>
        <w:t xml:space="preserve">  The obligation of the Company hereunder to issue and sell the Initial Preferred Shares and Preferred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4(g)) for the Initial Preferred Shares and the Preferred Warrants being purchased by such Buyer at the Closing by wire transfer of immediately available funds in accordance with the Flow of Funds Letter.</w:t>
        <w:br/>
        <w:t xml:space="preserve">  (c)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(d) The Business Combination Closing shall have occurred and the Company shall have obtained the Stockholder Approval.</w:t>
        <w:br/>
        <w:t xml:space="preserve">  7. CONDITIONS TO EACH BUYER’S OBLIGATION TO PURCHASE.</w:t>
        <w:br/>
        <w:t xml:space="preserve">  The obligation of each Buyer hereunder to purchase its Initial Preferred Shares and Preferred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shall have duly executed and delivered to such Buyer each of the Transaction Documents to which it is a party and the Company shall have duly executed and delivered to such Buyer (i) a stock certificate (or evidence of book entry, as applicable) of the Company for such aggregate number of Preferred Shares as set forth across from such Buyer’s name in column (3) of the Schedule of Buyers, (ii) a First Preferred Warrant to initially acquire up to that aggregate number of Warrant Preferred Shares as set forth opposite such Xxxxx’s name in column (4) on the Schedule of Buyers, and (iii) a Second Preferred Warrant to initially acquire up to that aggregate number of Warrant Preferred Shares as set forth opposite such Buyer’s name in column (3) on the Schedule of Buyers, in each case, duly executed on behalf of the Company and registered in the name of such Buyer or its designee, in each case, as being purchased by such Buyer at the Closing pursuant to this Agreement.</w:t>
        <w:br/>
        <w:t xml:space="preserve">  (b) Such Buyer shall have received the opinion of Xxxxxxxx Xxxxxx, the Company’s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Transfer Agent.</w:t>
        <w:br/>
        <w:t xml:space="preserve">    57</w:t>
        <w:br/>
        <w:t xml:space="preserve">    (d) The Company shall have delivered to such Buyer a certificate evidencing the formation and good standing of the Company in such entity’s jurisdiction of formation issued by the Secretary of State (or comparable office) of such jurisdiction of formation as of a date within ten (10) days of the Closing Date.</w:t>
        <w:br/>
        <w:t xml:space="preserve">  (e)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 within ten (10) days of the Closing Date.</w:t>
        <w:br/>
        <w:t xml:space="preserve">  (f) The Company shall have delivered to such Buyer a certified copy of the Certificate of Incorporation and the Certificate of Designations as certified by the Delaware Secretary of State within ten (10) days of the Closing Date.</w:t>
        <w:br/>
        <w:t xml:space="preserve">  (g) The Company shall have delivered to such Buyer a certificate, in the form acceptable to such Buyer, executed by the Secretary of the Company and dated as of the Closing Date, as to (i) the resolutions consistent with Section 3(b)as adopted by the Company’s board of directors in a form reasonably acceptable to such Buyer, (ii) the Certificate of Incorporation of the Company and (iii) the Bylaws of the Company, each as in effect at the Closing.</w:t>
        <w:br/>
        <w:t xml:space="preserve">  (h)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for representations and warranties that are required to be modified as a result of the consummation of the Business Combination, which modifications shall be set forth in an updated set of schedules to this Agreement delivered at the Closing)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(i) The Company shall have delivered to such Buyer a letter from the Transfer Agent certifying the number of shares of Common Stock outstanding on the Closing Date immediately prior to the Closing.</w:t>
        <w:br/>
        <w:t xml:space="preserve">  (j)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58</w:t>
        <w:br/>
        <w:t xml:space="preserve">    (k) The Company shall have obtained all governmental, regulatory or third party consents and approvals, if any, necessary for the sale of the Securities, including without limitation, those required by the Principal Market, if any.</w:t>
        <w:br/>
        <w:t xml:space="preserve">  (l)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(m) Since the date of execution of this Agreement, no event or series of events shall have occurred that reasonably would have or result in a Material Adverse Effect.</w:t>
        <w:br/>
        <w:t xml:space="preserve">  (n) The Company shall have obtained approval of the Principal Market to list or designate for quotation (as the case may be) the Conversion Shares.</w:t>
        <w:br/>
        <w:t xml:space="preserve">  (o)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(p) The Business Combination Closing shall have occurred and the Company shall have obtained the Stockholder Approval.</w:t>
        <w:br/>
        <w:t xml:space="preserve">  (q) As of the Closing Date, the Company shall have (i) disclosed all material, non-public information (if any) provided to any of the Buyers by the Company or any of its Subsidiaries or any of their respective officers, directors, employees or agents in connection with the transactions contemplated by the Transaction Documents and (ii)any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have terminated.</w:t>
        <w:br/>
        <w:t xml:space="preserve">  (r) Each and every representation and warranty of the Target in any Transaction Document shall be true and correct as of the date when made and as of the Closing Date as though originally made at that time (except for representations and warranties that speak as of a specific date, which shall be true and correct as of such specific date) and the Target shall have performed, satisfied and complied in all respects with the covenants, agreements and conditions required to be performed, satisfied or complied with by the Target at or prior to the Closing Date. Such Buyer shall have received a certificate, duly executed by the Chief Executive Officer of the Target, dated as of the Closing Date, to the foregoing effect and as to such other matters as may be reasonably requested by such Buyer in the form acceptable to such Buyer (the “Target Officer’s Certificate”).</w:t>
        <w:br/>
        <w:t xml:space="preserve">  (s) The Company and the Target shall have delivered to such Buyer, lock-up agreements, in the form of Exhibit D hereof (each, a “Lock-Up Agreement”), duly executed and delivered by such stockholders of the Company and/or the Target, as applicable, as listed on Schedule 7(s) attached hereto (the “Lock-Up Stockholders”), pursuant to which the Lock-Up Stockholders shall have agreed not to directly, or indirectly, sell any securities of the Company (including, without limitation, any securities issued pursuant to any registration statement with respect to the Business Combination), until the six (6) month anniversary of the Effective Date (as defined in the Registration Rights Agreement) of the initial Registration Statement required to be filed pursuant to the Registration Rights Agreement.</w:t>
        <w:br/>
        <w:t xml:space="preserve">    59</w:t>
        <w:br/>
        <w:t xml:space="preserve">    (t) Each of the stockholders listed on Schedule 7(t) attached hereto (the “Sellers”), severally, shall each have entered into one or more purchase agreements in the form attached hereto as Exhibit E (collectively, the “Target Purchase Agreements”) pursuant to which the Buyers, severally, shall immediately prior to the Closing Date, purchase one million (1,000,000) shares of Common Stock from the Sellers in accordance with the terms therein. The transactions contemplated by the Target Purchase Agreements shall have been consummated in full.</w:t>
        <w:br/>
        <w:t xml:space="preserve">  (u)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on or prior to June 30, 2025 (or such later date as the Required Holders shall specify to the Company),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Preferred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60</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of law or rule (whether of the State of Delaware or any other jurisdictions) that would cause the application of the laws of any jurisdictions other than the State of Delaware. Each of the BC Parties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any BC Party in any other jurisdiction to collect on any BC Party’s obligations to such Buyer or to enforce a judgment or other court ruling in favor of such Xxxxx.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61</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62</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any BC Entity, any of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any BC Entity prior to the date hereof with respect to any prior investment made by such Buyer in any BC Entity or (ii) waive, alter, modify or amend in any respect any obligations of any BC Entity, or any rights of or benefits to any Buyer or any other Person, in any agreement entered into prior to the date hereof between or among any BC Entity and any Buyer, or any instruments any Buyer received from any BC Entity prior to the date hereof, and all such agreements and instruments shall continue in full force and effect.  Except as specifically set forth herein or therein, neither any BC Party nor any Buyer makes any representation, warranty, covenant or undertaking with respect to such matters.  For clarification purposes, the Recitals are part of this Agreement.  No provision of this Agreement may be amended other than by an instrument in writing signed by the BC Parties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Buyer’s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or all holders of the Preferred Shares or all holders of Preferred Warrants (as the case may be).  From the date hereof and while any Preferred Shares or Preferred Warrants are outstanding, no BC Entity shall not be permitted to receive any consideration from a Buyer or a holder of Preferred Shares or Preferred Warrants that is not otherwise contemplated by the Transaction Documents in order to, directly or indirectly, induce any BC Entity (i) to treat such Buyer or holder of Preferred Shares or Preferred Warrants s in a manner that is more favorable than to other similarly situated Buyers or holders of Preferred Shares or Preferred Warrants, as applicable, or (ii) to treat any Buyer(s) or holder(s) of Preferred Shares or Preferred Warrants in a manner that is less favorable than the Buyer or holder of Preferred Shares or Preferred Warrants that is paying such consideration; provided, however, that the determination of whether a Buyer has been treated more or less favorably than another Buyer shall disregard any securities of the Company purchased or sold by any Buyer.  No BC Entity has, directly or indirectly, made any agreements with any Buyers relating to the terms or conditions of the transactions contemplated by the Transaction Documents except as set forth in the Transaction Documents.  Without limiting the foregoing, each BC Entity confirms that, except as set forth in this Agreement, no Buyer has made any commitment or promise or has any other obligation to provide any financing to the Company, any BC Entity or otherwise.  As a material inducement for each Buyer to enter into this Agreement, each BC Party expressly acknowledges and agrees that (x) no due diligence or other investigation or inquiry conducted by a Buyer, any of its advisors or any of its representatives shall affect such Buyer’s right to rely on, or shall modify or qualify in any manner or be an exception to any of, each BC Party’s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such BC Party’s representations and warranties contained in this Agreement or any other Transaction Document.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Preferred Warrants (or the Buyers, with respect to any waiver or amendment of Section 4(p)); provided, that such majority must include Jumpstart NY LLC.</w:t>
        <w:br/>
        <w:t xml:space="preserve">      63</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Classover Holdings, Inc.</w:t>
        <w:br/>
        <w:t>0 Xxx Xxxxx, #00000</w:t>
        <w:br/>
        <w:t>Dover, Delaware 19901</w:t>
        <w:br/>
        <w:t>Telephone: (000) 000-0000</w:t>
        <w:br/>
        <w:t>Attention: Chief Executive Officer</w:t>
        <w:br/>
        <w:t>E-Mail: xxxxxx@xxxxxxxxxxxxx.xxx</w:t>
        <w:br/>
        <w:t xml:space="preserve">  With a copy (for informational purposes only) to:</w:t>
        <w:br/>
        <w:t xml:space="preserve">  Xxxxxxxx Xxxxxx</w:t>
        <w:br/>
        <w:t>000 Xxxxxxxxx Xxxxxx, 00xx Xxxxx</w:t>
        <w:br/>
        <w:t>New York, New York 10174</w:t>
        <w:br/>
        <w:t>Telephone: (000) 000-0000</w:t>
        <w:br/>
        <w:t>Attention: Xxxxxxx X. Xxxxxxx</w:t>
        <w:br/>
        <w:t>E-Mail: xxxxxxxx@xxxxxxxx.xxx</w:t>
        <w:br/>
        <w:t xml:space="preserve">  If to the Target:</w:t>
        <w:br/>
        <w:t xml:space="preserve">  Class Over Inc.</w:t>
        <w:br/>
        <w:t>000 0xx Xxx</w:t>
        <w:br/>
        <w:t>New York, NY 10123</w:t>
        <w:br/>
        <w:t>Telephone: 000-000-0000</w:t>
        <w:br/>
        <w:t>Attention: Xxx Xxx (Xxxxxxxxx)</w:t>
        <w:br/>
        <w:t>E-Mail: xxxx@xxxxxxxxx.xxx</w:t>
        <w:br/>
        <w:t xml:space="preserve">  With a copy (for informational purposes only) to:</w:t>
        <w:br/>
        <w:t xml:space="preserve">  Class Over Inc.</w:t>
        <w:br/>
        <w:t>000 0xx Xxx</w:t>
        <w:br/>
        <w:t>New York, NY 10123</w:t>
        <w:br/>
        <w:t>Telephone: 000-000-0000</w:t>
        <w:br/>
        <w:t>Attention: Xxxxx Xxxx</w:t>
        <w:br/>
        <w:t>E-Mail: xxxxx@xxxxxxxxx.xxx</w:t>
        <w:br/>
        <w:t xml:space="preserve">    64</w:t>
        <w:br/>
        <w:t xml:space="preserve">    If to the SPAC:</w:t>
        <w:br/>
        <w:t xml:space="preserve">  Battery Future Acquisition Corp.</w:t>
        <w:br/>
        <w:t>0 Xxx Xxxxx, #00000</w:t>
        <w:br/>
        <w:t>Dover, Delaware 19901</w:t>
        <w:br/>
        <w:t>Telephone: (000) 000-0000</w:t>
        <w:br/>
        <w:t>Attention: Xxxxxxx Xxx</w:t>
        <w:br/>
        <w:t>E-Mail: xxxxxx@xxxxxxxxxxxxx.xxx</w:t>
        <w:br/>
        <w:t xml:space="preserve">  With a copy (for informational purposes only) to:</w:t>
        <w:br/>
        <w:t xml:space="preserve">  Xxxxxxxx Xxxxxx</w:t>
        <w:br/>
        <w:t>000 Xxxxxxxxx Xxxxxx, 00xx Xxxxx</w:t>
        <w:br/>
        <w:t>New York, New York 10174</w:t>
        <w:br/>
        <w:t>Telephone: (000) 000-0000</w:t>
        <w:br/>
        <w:t>Attention: Xxxxxxx X. Xxxxxxx</w:t>
        <w:br/>
        <w:t>E-Mail: xxxxxxxx@xxxxxxxx.xxx</w:t>
        <w:br/>
        <w:t xml:space="preserve">  If to the Transfer Agent:</w:t>
        <w:br/>
        <w:t xml:space="preserve">  Continental Stock Transfer &amp; Trust Company</w:t>
        <w:br/>
        <w:t>One State Street</w:t>
        <w:br/>
        <w:t>New York, New York 10004</w:t>
        <w:br/>
        <w:t>Attention: Account Administrator</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0 Xxxxx Xxxxx Xxxxxx</w:t>
        <w:br/>
        <w:t>000 Xxxxxxxxx Xxxxxx</w:t>
        <w:br/>
        <w:t>New York, NY 10007</w:t>
        <w:br/>
        <w:t>Telephone: (000) 000-0000</w:t>
        <w:br/>
        <w:t>Attention: Xxxxxxx X. Xxxxxxxxx, Esq.</w:t>
        <w:br/>
        <w:t>E-mail: xxxxxxxxxx@xxxxxxxxxx.xxx</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65</w:t>
        <w:br/>
        <w:t xml:space="preserve">    (g) Successors and Assigns. This Agreement shall be binding upon and inure to the benefit of the parties and their respective successors and assigns, including any purchasers of any of the Preferred Shares and Preferred Warrants. No BC Party shall assign this Agreement or any rights or obligations hereunder without the prior written consent of the Required Holders, including, without limitation, by way of a Fundamental Transaction (as defined in the Preferred Warrants) (unless the Company is in compliance with the applicable provisions governing Fundamental Transactions set forth in the Preferred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any BC Party,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 below.</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66</w:t>
        <w:br/>
        <w:t xml:space="preserve">    (k) Indemnification. In consideration of each Buyer’s execution and delivery of the Transaction Documents and acquiring the Securities thereunder and in addition to all of each BC Party’s other obligations under the Transaction Documents, each BC Party, severally,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any BC Entity in any of the Transaction Documents, (ii) any breach of any covenant, agreement or obligation of any BC Entity contained in any of the Transaction Documents or (iii) any cause of action, suit, proceeding or claim brought or made against such Indemnitee by a third party (including for these purposes a derivative action brought on behalf of any BC Entity)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any BC Entity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a BC Entity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each BC Party recognizes that in the event that it or any BC Entity fails to perform, observe, or discharge any or all of its or such BC Entity’s (as the case may be) obligations under the Transaction Documents, any remedy at law would inadequate relief to the Buyers. Each BC Party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67</w:t>
        <w:br/>
        <w:t xml:space="preserve">    (n) Withdrawal Right. Notwithstanding anything to the contrary contained in (and without limiting any similar provisions of) the Transaction Documents, whenever any Buyer exercises a right, election, demand or option under a Transaction Document and any BC Entity does not timely perform its related obligations within the periods therein provided, then such Buyer may rescind or withdraw, in its sole discretion from time to time upon written notice to such applicable BC Entity, any relevant notice, demand or election in whole or in part without prejudice to its future actions and rights.</w:t>
        <w:br/>
        <w:t xml:space="preserve">  (o) Payment Set Aside; Currency. To the extent that a BC Entity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such BC Entity,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any BC Entity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68</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any BC Entity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each BC Party acknowledges that the Buyers do not so constitute, a partnership, an association, a joint venture or any other kind of group or entity, or create a presumption that the Buyers are in any way acting in concert or as a group or entity, and no BC Entity shall assert any such claim with respect to such obligations or the transactions contemplated by the Transaction Documents or any matters, and each BC Party acknowledges that the Buyers are not acting in concert or as a group, and no BC Entity shall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Each BC Party and each Buyer confirms that each Buyer has independently participated with the BC Entities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BC Parties, not the action or decision of any Buyer, and was done solely for the convenience of the BC Entities and not because it was required or requested to do so by any Buyer. It is expressly understood and agreed that each provision contained in this Agreement and in each other Transaction Document is between applicable BC Entities and a Buyer, solely, and not between the Company, its Subsidiaries and the Buyers collectively and not between and among the Buyers.</w:t>
        <w:br/>
        <w:t xml:space="preserve">  [signature pages follow]</w:t>
        <w:br/>
        <w:t xml:space="preserve">    69</w:t>
        <w:br/>
        <w:t xml:space="preserve">    IN WITNESS WHEREOF, each Buyer, the SPAC, the Target and the Company have caused their respective signature page to this Agreement to be duly executed as of the date first written above.</w:t>
        <w:br/>
        <w:t xml:space="preserve">    COMPANY:</w:t>
        <w:br/>
        <w:t xml:space="preserve">            CLASSOVER HOLDINGS, INC.</w:t>
        <w:br/>
        <w:t xml:space="preserve">            By:</w:t>
        <w:br/>
        <w:t>/s/ Xxxxxxx Xxx</w:t>
        <w:br/>
        <w:t xml:space="preserve">    Name: Xxxxxxx Xxx</w:t>
        <w:br/>
        <w:t xml:space="preserve">    Title: CEO</w:t>
        <w:br/>
        <w:t xml:space="preserve">      70</w:t>
        <w:br/>
        <w:t xml:space="preserve">    IN WITNESS WHEREOF, each Buyer, the Target and the Company have caused their respective signature page to this Agreement to be duly executed as of the date first written above.</w:t>
        <w:br/>
        <w:t xml:space="preserve">    SPAC:</w:t>
        <w:br/>
        <w:t xml:space="preserve">            BATTERY FUTURE ACQUISITION CORP.</w:t>
        <w:br/>
        <w:t xml:space="preserve">            By:</w:t>
        <w:br/>
        <w:t>/s/ Xxxxxxx Xxx</w:t>
        <w:br/>
        <w:t xml:space="preserve">      Name: Xxxxxxx Xxx</w:t>
        <w:br/>
        <w:t xml:space="preserve">      Title: CEO</w:t>
        <w:br/>
        <w:t xml:space="preserve">      71</w:t>
        <w:br/>
        <w:t xml:space="preserve">    IN WITNESS WHEREOF, each Buyer, the Target and the Company have caused their respective signature page to this Agreement to be duly executed as of the date first written above.</w:t>
        <w:br/>
        <w:t xml:space="preserve">    TARGET:</w:t>
        <w:br/>
        <w:t xml:space="preserve">            CLASS OVER INC.</w:t>
        <w:br/>
        <w:t xml:space="preserve">            By:</w:t>
        <w:br/>
        <w:t>/s/ Xxx Xxx</w:t>
        <w:br/>
        <w:t xml:space="preserve">      Name: Xxx Xxx</w:t>
        <w:br/>
        <w:t xml:space="preserve">      Title: CEO</w:t>
        <w:br/>
        <w:t xml:space="preserve">      72</w:t>
        <w:br/>
        <w:t xml:space="preserve">    IN WITNESS WHEREOF, each Buyer, the Target and the Company have caused their respective signature page to this Agreement to be duly executed as of the date first written above.</w:t>
        <w:br/>
        <w:t xml:space="preserve">    BUYER:</w:t>
        <w:br/>
        <w:t xml:space="preserve">            JUMPSTART NY LLC</w:t>
        <w:br/>
        <w:t xml:space="preserve">            By:</w:t>
        <w:br/>
        <w:t>/s/ Xxxxxxx X. Xxxxxxx</w:t>
        <w:br/>
        <w:t xml:space="preserve">      Name: Xxxxxxx X. Xxxxxxx</w:t>
        <w:br/>
        <w:t xml:space="preserve">      Title: Manager</w:t>
        <w:br/>
        <w:t xml:space="preserve">      73</w:t>
        <w:br/>
        <w:t xml:space="preserve">    SCHEDULE OF BUYERS</w:t>
        <w:br/>
        <w:t xml:space="preserve">    (1)</w:t>
        <w:br/>
        <w:t xml:space="preserve">  (2)</w:t>
        <w:br/>
        <w:t xml:space="preserve">  (3)</w:t>
        <w:br/>
        <w:t xml:space="preserve">  (4)</w:t>
        <w:br/>
        <w:t xml:space="preserve">  (5)</w:t>
        <w:br/>
        <w:t>(6)</w:t>
        <w:br/>
        <w:t>(7)</w:t>
        <w:br/>
        <w:t xml:space="preserve">                Buyer</w:t>
        <w:br/>
        <w:t xml:space="preserve">  Mailing Address  </w:t>
        <w:br/>
        <w:t>and E-mail Address</w:t>
        <w:br/>
        <w:t xml:space="preserve">  Aggregate Number of</w:t>
        <w:br/>
        <w:t>Initial</w:t>
        <w:br/>
        <w:t xml:space="preserve"> Preferred Shares</w:t>
        <w:br/>
        <w:t>Aggregate Number of</w:t>
        <w:br/>
        <w:t xml:space="preserve"> First</w:t>
        <w:br/>
        <w:t>Warrant</w:t>
        <w:br/>
        <w:t>Preferred Shares</w:t>
        <w:br/>
        <w:t xml:space="preserve"> Aggregate Number of</w:t>
        <w:br/>
        <w:t>Second</w:t>
        <w:br/>
        <w:t>Warrant</w:t>
        <w:br/>
        <w:t>Preferred Shares</w:t>
        <w:br/>
        <w:t xml:space="preserve">   Purchase Price</w:t>
        <w:br/>
        <w:t>Legal Representative’s</w:t>
        <w:br/>
        <w:t>Mailing Address and E-mail Address</w:t>
        <w:br/>
        <w:t xml:space="preserve">                            Jumpstart NY LLC</w:t>
        <w:br/>
        <w:t>00 Xxxxx Xxxxxx</w:t>
        <w:br/>
        <w:t>Xxxxx 0000</w:t>
        <w:br/>
        <w:t>Xxx Xxxx, Xxx Xxxx 00000</w:t>
        <w:br/>
        <w:t>Attention: Xxxxxxx Xxxx-Xxxxxxx</w:t>
        <w:br/>
        <w:t>E-Mail: xxxxxx@xxxxxxxxxxx.xxx</w:t>
        <w:br/>
        <w:t xml:space="preserve">  2,400</w:t>
        <w:br/>
        <w:t xml:space="preserve">  1,600</w:t>
        <w:br/>
        <w:t xml:space="preserve">  1,000</w:t>
        <w:br/>
        <w:t xml:space="preserve">  $5,000,000</w:t>
        <w:br/>
        <w:t>Xxxxxx Xxxx &amp; Xxxxxx LLP</w:t>
        <w:br/>
        <w:t>0 Xxxxx Xxxxx Xxxxxx</w:t>
        <w:br/>
        <w:t>000 Xxxxxxxxx Xxxxxx</w:t>
        <w:br/>
        <w:t>Xxx Xxxx, XX 00000</w:t>
        <w:br/>
        <w:t>Telephone:  (000) 000-0000</w:t>
        <w:br/>
        <w:t>Attention:  Xxxxxxx X. Xxxxxxxxx, Esq.</w:t>
        <w:br/>
        <w:t xml:space="preserve">    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