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SECURITIES PURCHASE AGREEMENT</w:t>
        <w:br/>
        <w:t xml:space="preserve">  This SECURITIES PURCHASE AGREEMENT (the “Agreement”), dated as of [ ], 2024, is by and among Top KingWin Ltd., an exempted company incorporated under the laws of the Cayman Islands with offices located at Xxxx 0000, Xxxxxxxx Xx. 00, Xxxx’xx Xxxxxxxxxxxx Xxxxxx, Xx. 000, Xxxxx Xxxxx Xxxxxx, Xxxxxxx Xxxxxx, Xxxxx Xxxxxxxx, Xxxxxxxxx, Xxxxxxxxx Xxxxxxxx, Xxxxx (the “Company”), and each of the investors listed on the Schedule of Buyers attached hereto (individually, a “Buyer” and collectively, the “Buyers”).</w:t>
        <w:br/>
        <w:t xml:space="preserve">  RECITALS</w:t>
        <w:br/>
        <w:t xml:space="preserve">  A. The Company and each Buyer desire are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B. The Company has authorized a new series of convertible notes of the Company, in the aggregate original principal amount of up to $2,500,000, substantially in the form attached hereto as Exhibit A (the “Notes”), which Notes shall be convertible into Ordinary Shares (as defined below) (the Ordinary Shares issuable pursuant to the terms of the Notes, including, without limitation, upon conversion or otherwise, collectively, the “Conversion Shares”), in accordance with the terms of the Notes.</w:t>
        <w:br/>
        <w:t xml:space="preserve">  C. Each Buyer wishes to purchase, and the Company wishes to sell, upon the terms and conditions stated in this Agreement, a Note in the aggregate original principal amount set forth opposite such Buyer’s name in column (2) on the Schedule of Buyers.</w:t>
        <w:br/>
        <w:t xml:space="preserve">  D. The Notes and the Conversion Shares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NOTES.</w:t>
        <w:br/>
        <w:t xml:space="preserve">  (a) Purchase of Notes. Subject to the satisfaction (or waiver) of the conditions set forth in Sections 6 and 7 below, the Company shall issue and sell to each Buyer, and each Buyer severally, but not jointly, agrees to purchase from the Company on the Closing Date (as defined below), a Note in the original principal amount as is set forth opposite such Buyer’s name in column (2) on the Schedule of Buyers (the “Closing”).</w:t>
        <w:br/>
        <w:t xml:space="preserve">        (b) Closing. The Closing of the purchase of Notes by the Buyers shall occur at the offices of Xxxxx Xxxxxxx LLP, 0 Xxxxx Xxxxxx, 00xx Xxxxx, Xxx Xxxx, Xxx Xxxx 00000. The date and time of the Closing (the “Closing Date”) shall be 9:30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 Purchase Price. The aggregate purchase price for the Notes to be purchased by each Buyer at the Closing (the “Purchase Price”) shall be the amount set forth opposite such Buyer’s name in column (2) on the Schedule of Buyers. Each Buyer shall pay approximately $900 for each $1,000 of principal amount of Notes to be purchased by such Buyer at the Closing.</w:t>
        <w:br/>
        <w:t xml:space="preserve">  (d) Form of Payment. On the Closing Date, (A) each Buyer shall pay its respective Purchase Price for the Closing (less, in the case of any Buyer, the amounts withheld pursuant to Section 4(j)) to the Company for the Notes to be issued and sold to such Buyer at the Closing, by wire transfer of immediately available funds in accordance with the Flow of Funds Letter (as defined below) and (B) the Company shall deliver to each Buyer a Note in the aggregate original principal amount as is set forth opposite such Xxxxx’s name in column (2) of the Schedule of Buyers, duly executed on behalf of the Company and registered in the name of such Buyer or its designee.</w:t>
        <w:br/>
        <w:t xml:space="preserve">  2. BUYER’S REPRESENTATIONS AND WARRANTIES.</w:t>
        <w:br/>
        <w:t xml:space="preserve">  Each Buyer, severally and not jointly, represents and warrants to the Company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Validity; Enforcement. This Agreement and each of the Transaction Documents to which such Buyer is a party has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2</w:t>
        <w:br/>
        <w:t xml:space="preserve">    (c) No Conflicts. The execution, delivery and performance by such Buyer of this Agreement and each of the Transaction Documents to which such Buyer is a party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(d) No Group. Other than affiliates of such Buyer who are also Buyers under this Agreement, such Buyer is not under common control with or acting in concert with any other Buyer and is not part of a “group” for purposes of the Securities Exchange Act of 1934, as amended (the “1934 Act”).</w:t>
        <w:br/>
        <w:t xml:space="preserve">  (e) No Public Sale or Distributions. Such Buyer (i) is acquiring its Note, and (ii) upon conversion of its Note will acquire the Conversion Shares issuable upon conversion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(as defined below) or any department or agency thereof.</w:t>
        <w:br/>
        <w:t xml:space="preserve">  (f) Accredited Investor Status. Such Buyer is an “accredited investor” as that term is defined in Rule 501(a) of Regulation D.</w:t>
        <w:br/>
        <w:t xml:space="preserve">  (g)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(h)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3</w:t>
        <w:br/>
        <w:t xml:space="preserve">    (i)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(j) Transfer or Resale. Such Buyer understands that except as provided herein: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2(j).</w:t>
        <w:br/>
        <w:t xml:space="preserve">  3. REPRESENTATIONS AND WARRANTIES OF THE COMPANY.</w:t>
        <w:br/>
        <w:t xml:space="preserve">  The Company represents and warrants to each of the Buyers that, as of the date hereof and as of the Closing Date:</w:t>
        <w:br/>
        <w:t xml:space="preserve">  (a) 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(if a good standing concept exists in such jurisdiction)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share capital or holds any equity or similar interest of such Person or (II) controls or operates all or any part of the business, operations or administration of such Person, and each of the foregoing, is individually referred to herein as a “Subsidiary.”</w:t>
        <w:br/>
        <w:t xml:space="preserve">  4</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Notes and the reservation for issuance and issuance of the Conversion Shares issuable upon conversion of the Notes) have been duly authorized by the Company’s board of directors or other governing body, as applicable, and (other than (i) the filing with the SEC of (A) the applicable 6-K Filing (as defined below), (B) a prospectus supplement in connection with the Closing as required by the Registration Statement pursuant to Rule 424(b) under the 1933 Act (the “Prospectus Supplement”) supplementing the base prospectus forming part of the Registration Statement in accordance with the requirements of Section 4(cc), (C) the filing of an additional listing application with the Principal Market, (D) a Form D with the SEC and (E) any other filings as may be required by any state securities agencies (the “Required Approvals”) and no further filing, consent or authorization is required by the Company, its Subsidiaries, their respective boards of directors or their shareholders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“Transaction Documents” means, collectively, this Agreement, the Notes,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(c) Issuance of Securities. The issuance of the Notes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share capital not less than 100% of the sum of the maximum number of Conversion Shares issuable upon conversion of the Notes (assuming for purposes hereof that (x) the Notes are convertible at the Floor Price (as defined in the Notes), (y) interest on the Notes shall accrue through the third (3rd) anniversary of the Closing Date and will be converted in Ordinary Shares at a conversion price equal to the Floor Price and (z) any such conversion shall not take into account any limitations on the conversion of the Notes set forth in the Notes). Upon issuance or conversion in accordance with the Notes, the Conversion Shares, when issued, will be validly issued, fully paid and nonassessable and free from all preemptive or similar rights or Liens with respect to the issue thereof, with the holders being entitled to all rights accorded to a holder of Ordinary Shares. Subject to the representations and warranties of the Buyers in this Agreement, the offer and issuance by the Company of the Securities is exempt from registration under the 1933 Act.</w:t>
        <w:br/>
        <w:t xml:space="preserve">  5</w:t>
        <w:br/>
        <w:t xml:space="preserve">    (d) No Conflicts. The execution, delivery and performance of the Transaction Documents by the Company and the consummation by the Company of the transactions contemplated hereby and thereby (including, without limitation, the issuance of the Notes, the Conversion Shares and the reservation for issuance of the Conversion Shares) will not (i) result in a violation of the certificate of incorporation, as may be amended from time to time, of the Company, the Memorandum and Articles of Association (as defined below), or the certificate of formation, memorandum of association, articles of association, bylaws or other organizational documents of the Company, or any share capital or other securities of the Company,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including, without limitation, the laws, rules and regulations of the Cayman Islands applicable to the Company or by which any property or asset of the Company is bound or affected).</w:t>
        <w:br/>
        <w:t xml:space="preserve">  (e) Consents. Neither the Company nor any Subsidiary is required to obtain any consent from, authorization or order of, or make any filing or registration with (other than the Required Approvals),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the Principal Market and has no knowledge of any facts or circumstances which could reasonably lead to delisting or suspension of the Ordinary Shares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6</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Ordinary Shares (as defined for purposes of Rule 13d-3 of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(g)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 connection with the sale of the Securities. The Company shall pay, and hold each Buyer harmless against, any liability, loss or expense (including, without limitation, attorney’s fees and out-of-pocket expenses) arising in connection with any such claim. Neither the Company nor any of its Subsidiaries has engaged any placement agent or other agent in connection with the offer or sale of the Securities.</w:t>
        <w:br/>
        <w:t xml:space="preserve">  (h) No Registration; Shareholders Approval.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shareholders of the Company for purposes of the 1933 Act or under any applicable shareholder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w:t>
        <w:br/>
        <w:t xml:space="preserve">  7</w:t>
        <w:br/>
        <w:t xml:space="preserve">    (i) Dilutive Effect. The Company understands and acknowledges that the number of Conversion Shares will increase in certain circumstances. The Company further acknowledges that its obligation to issue the Conversion Shares pursuant to the terms of the Notes in accordance with this Agreement and the Notes, is absolute and unconditional regardless of the dilutive effect that such issuance may have on the ownership interests of other shareholders of the Company.</w:t>
        <w:br/>
        <w:t xml:space="preserve">  (j) Application of Takeover Protections; Rights Agreement. The Company and its board of directors have taken all necessary action, if any, in order to render inapplicable any control share acquisition, interested shareholder, business combination, poison pill (including, without limitation, any distribution under a rights agreement), shareholder rights plan or other similar anti-takeover provision under the Memorandum and Articles of Association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has no shareholder rights plan or similar arrangement relating to accumulations of beneficial ownership of Ordinary Shares or a change in control of the Company or any of its Subsidiaries.</w:t>
        <w:br/>
        <w:t xml:space="preserve">  (k) SEC Documents; Financial Statements. During the two (2) years prior to the date hereof, the Company has timely filed all reports, schedules, forms, proxy statements, statements and other documents required to be filed by it with the SEC (other than Section 16 ownership filings)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material compliance with GAAP and the rules and regulations of the SEC. The Company has not been informed by its independent auditors that they recommend that the Company amend or restate any of the Financial Statements or that there is any need for the Company to amend or restate any of the Financial Statements.</w:t>
        <w:br/>
        <w:t xml:space="preserve">  8</w:t>
        <w:br/>
        <w:t xml:space="preserve">    (l) Absence of Certain Changes. Since the date of the Company’s most recent audited financial statements contained in a Form 20-F,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a Form 20-F,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the Closing, will not be Insolvent (as defined below). For purposes of this Section 3(l),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 xml:space="preserve">  (m) No Undisclosed Events, Liabilities, Developments or Circumstances.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F-1 filed with the SEC relating to an issuance and sale by the Company of its Ordinary Shares and which has not been publicly announced, (ii) could have a material adverse effect on any Buyer’s investment hereunder or (iii) could have a Material Adverse Effect.</w:t>
        <w:br/>
        <w:t xml:space="preserve">  9</w:t>
        <w:br/>
        <w:t xml:space="preserve">    (n) Conduct of Business; Regulatory Permits. Neither the Company nor any of its Subsidiaries is in violation of any term of or in default under its Memorandum and Articles of Association, any certificate of designation, preferences or rights of any other outstanding series of preferred shares of the Company or any of its Subsidiaries, or its organizational charter, certificate of formation, memorandum of association, articles of association, certificate of incorporation or bylaws, as applicable.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Ordinary Shares by the Principal Market in the foreseeable future. During the two (2) years prior to the date hereof, (i) the Ordinary Shares has been listed or designated for quotation on the Principal Market, (ii) trading in the Ordinary Shares has not been suspended by the SEC or the Principal Market and (iii) the Company has received no communication, written or oral, from the SEC or the Principal Market regarding the suspension or delisting of the Ordinary Shares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(o) Foreign Corrupt Practices. Neither the Company, the Company’s subsidiary or any director, officer, agent, employee, nor any other person acting for or on behalf of the foregoing (individually and collectively, a “Company Affiliate”) have violated the U.S. Foreign Corrupt Practices Act of 1977, as amended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10</w:t>
        <w:br/>
        <w:t xml:space="preserve">    (ii) assisting the Company or its Subsidiaries in obtaining or retaining business for or with, or directing business to, the Company or its Subsidiaries.</w:t>
        <w:br/>
        <w:t xml:space="preserve">  (p) Xxxxxxxx-Xxxxx Act. The Company and each Subsidiary is in material compliance with any and all applicable requirements of the Xxxxxxxx-Xxxxx Act of 2002, as amended, and any and all applicable rules and regulations promulgated by the SEC thereunder.</w:t>
        <w:br/>
        <w:t xml:space="preserve">  (q) Transactions With Affiliates. Except as disclosed in the SEC Documents, no current or former employee, partner, director, officer or shareholder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shareholder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equity of a company whose securities are traded on or quoted through an Eligible Market (defined below), nor does any such Person receive income from any source other than the Company or its Subsidiaries which relates to the business of the Company or its Subsidiaries or should properly accrue to the Company or its Subsidiaries. No employee, officer, shareholder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share option agreements outstanding under any share option plan approved by the Board of Directors of the Company).</w:t>
        <w:br/>
        <w:t xml:space="preserve">  11</w:t>
        <w:br/>
        <w:t xml:space="preserve">    (r) Equity Capitalization.</w:t>
        <w:br/>
        <w:t xml:space="preserve">  (i) Definitions:</w:t>
        <w:br/>
        <w:t xml:space="preserve">  (A) “Ordinary Shares” means (x) the Company’s Class A ordinary shares, $0.0001 par value per share, and (y) any share capital into which such ordinary shares shall have been changed or any share capital resulting from a reclassification of such ordinary shares.</w:t>
        <w:br/>
        <w:t xml:space="preserve">  (ii) Authorized and Outstanding Share Capital. As of the date hereof, the authorized share capital of the Company consists of (i) 300,000,000 Ordinary Shares, of which, 179,180,431 Ordinary Shares are issued and outstanding and 0 Ordinary Shares are reserved for issuance pursuant to Convertible Securities (as defined below) (other than the Notes) exercisable or exchangeable for, or convertible into, Ordinary Shares, and (ii) 200,000,000 Class B ordinary shares, $0.0001 par value per share, of which, 3,786,960 shares are issued and outstanding. “Convertible Securities” means any share capital or other security of the Company or any of its Subsidiaries that is at any time and under any circumstances directly or indirectly convertible into, exercisable or exchangeable for, or which otherwise entitles the holder thereof to acquire, any share capital or other security of the Company (including, without limitation, Ordinary Shares) or any of its Subsidiaries.</w:t>
        <w:br/>
        <w:t xml:space="preserve">  (iii) Valid Issuance; Available Shares; Affiliates. All of such outstanding shares are duly authorized and have been, or upon issuance will be, validly issued and are fully paid and nonassessable. Schedule 3(r)(iii) sets forth the number of Ordinary Shares that are (A) reserved for issuance pursuant to Convertible Securities (as defined below) (other than the Notes) and (B) that are, as of the date hereof, owned by Persons who are “affiliates” (as defined in Rule 405 of the 1933 Act and calculated based on the assumption that only officers, directors and holders of at least 10% of the Company’s issued and outstanding Ordinary Shares are “affiliates” without conceding that any such Persons are “affiliates” for purposes of federal securities laws) of the Company or any of its Subsidiaries. To the Company’s knowledge, no Person owns 10% or more of the Company’s issued and outstanding Ordinary Shares (calculated based on the assumption that all Convertible Securities (as defined below), whether or not presently exercisable or convertible, have been fully exercised or converted (as the case may be) taking account of any limitations on exercise or conversion (including “blockers”) contained therein without conceding that such identified Person is a 10% shareholder for purposes of federal securities laws).</w:t>
        <w:br/>
        <w:t xml:space="preserve">  12</w:t>
        <w:br/>
        <w:t xml:space="preserve">    (iv) Existing Securities; Obligations. Except as disclosed in the SEC Documents: (A) none of the Company’s or any Subsidiary’s shares, interests or share capital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share capital of the Company or any of its Subsidiaries, or contracts, commitments, understandings or arrangements by which the Company or any of its Subsidiaries is or may become bound to issue additional shares, interests or share capital of the Company or any of its Subsidiaries or options, warrants, scrip, rights to subscribe to, calls or commitments of any character whatsoever relating to, or securities or rights convertible into, or exercisable or exchangeable for, any shares, interests or share capital of the Company or any of its Subsidiaries; (C) there are no agreements or arrangements under which the Company or any of its Subsidiaries is obligated to register the sale of any of their securities under the 1933 Act (except pursuant to this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share appreciation rights or “phantom share” plans or agreements or any similar plan or agreement.</w:t>
        <w:br/>
        <w:t xml:space="preserve">  (v) Organizational Documents. The Company has furnished to the Buyers true, correct and complete copies of the Company’s certificate of incorporation, as amended and as in effect on the date hereof, and the Company’s memorandum and articles of association, as amended and as in effect on the date hereof (the “Memorandum and Articles of Association”), and the terms of all Convertible Securities and the material rights of the holders thereof in respect thereto.</w:t>
        <w:br/>
        <w:t xml:space="preserve">  (s) Indebtedness and Other Contracts. Neither the Company nor any of its Subsidiaries, (i) except as disclosed in the SEC Documents or Schedule 3(s) (provided, that Schedule 3(s) shall, in any event, include a list of all applicable documents disclosed in the SEC Documents),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13</w:t>
        <w:br/>
        <w:t xml:space="preserve">    (t) Litigation.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Ordinary Shares or any of the Company’s or its Subsidiaries’ officers or directors, whether of a civil or criminal nature or otherwise, in their capacities as such, which is outside of the ordinary course of business or individually or in the aggregate material to the Company or any of its Subsidiaries.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including, without limitation, the Registration Statement. After reasonable inquiry of its employees,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(u) Insurance. The Company any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14</w:t>
        <w:br/>
        <w:t xml:space="preserve">    (w) Title.</w:t>
        <w:br/>
        <w:t xml:space="preserve">  (i) Real Property. Each of the Company and its Subsidiaries holds good title to, or a valid leasehold interest in,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 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(x)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the patents owned by the Company or any of its Subsidiaries is listed on Schedule 3(x)(i). Except as set forth in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15</w:t>
        <w:br/>
        <w:t xml:space="preserve">    (y)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except where, in each of the foregoing clauses (A), (B) and (C), the failure to so comply could or have such permits, licenses or other approval, as applicable, would not reasonably be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No Hazardous Materials:</w:t>
        <w:br/>
        <w:t xml:space="preserve">  (A) have been disposed of or otherwise released from any Real Property of the Company or any of its Subsidiaries in violation of any Environmental Laws; or</w:t>
        <w:br/>
        <w:t xml:space="preserve">  (B)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(z)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16</w:t>
        <w:br/>
        <w:t xml:space="preserve">    (aa) 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Internal Revenue Code of 1986, as amended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 xml:space="preserve">  (bb) Internal Accounting and Disclosure Controls. The Company and its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and the Subsidiaries have established disclosure controls and procedures (as defined in 1934 Act Rules 13a-15(e) and 15d-15(e)) for the Company and its Subsidiaries and designed such disclosure controls and procedures to ensure that information required to be disclosed by the Company in the reports it files or submits under the 1934 Act is recorded, processed, summarized and reported, within the time periods specified in the Securities and Exchange Commission’s rules and forms. The Company’s certifying officers have evaluated the effectiveness of the disclosure controls and procedures of the Company and its Subsidiaries as of the end of the period covered by the most recently filed periodic report under the 1934 Act (such date, the “Evaluation Date”). The Company presented in its most recently filed periodic report under the 1934 Act the conclusions of the certifying officers about the effectiveness of the disclosure controls and procedures based on their evaluations as of the Evaluation Date. Since the Evaluation Date, there have been no changes in the internal control over financial reporting (as such term is defined in the 1934 Act) of the Company and its Subsidiaries that have materially affected, or is reasonably likely to materially affect, the internal control over financial reporting of the Company and its Subsidiaries.</w:t>
        <w:br/>
        <w:t xml:space="preserve">  (cc)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17</w:t>
        <w:br/>
        <w:t xml:space="preserve">    (ee)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Ordinary Shares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Ordinary Shares upon conversion, exercise or exchange, as applicable, of the Securities as and when required pursuant to the Transaction Documents for purposes of effecting trading in the Ordinary Shares of the Company. The Company further understands and acknowledges that following the public disclosure of the transactions contemplated by the Transaction Documents pursuant to the Press Releases and/or 6-K Filings (as defined below)one or more Buyers may engage in hedging and/or trading activities (including, without limitation, the location and/or reservation of borrowable Ordinary Shares) at various times during the period that the Securities are outstanding, including, without limitation, during the periods that the value and/or number of Conversion Shares deliverable with respect to the Securities are being determined and such hedging and/or trading activities (including, without limitation, the location and/or reservation of borrowable Ordinary Shares), if any, can reduce the value of the existing shareholders’ equity interest in the Company both at and after the time the hedging and/or trading activities are being conducted. The Company acknowledges that such aforementioned hedging and/or trading activities do not constitute a breach of this Agreement, the Notes, or any other Transaction Document or any of the documents executed in connection herewith or therewith.</w:t>
        <w:br/>
        <w:t xml:space="preserve">  (ff) 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(gg)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(hh) Registration Eligibility. The Company is eligible to register the Securities for resale by the Buyers using Form F-3 promulgated under the 1933 Act.</w:t>
        <w:br/>
        <w:t xml:space="preserve">  18</w:t>
        <w:br/>
        <w:t xml:space="preserve">    (ii) Transfer Taxes. On the Closing Date, all share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(jj)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(kk) Shell Company Status. The Company is not, and has never been, an issuer identified in, or subject to, Rule 144(i).</w:t>
        <w:br/>
        <w:t xml:space="preserve">  (ll)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(mm)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19</w:t>
        <w:br/>
        <w:t xml:space="preserve">    (nn) Management. During the past three-year period, no current or former officer or director or, to the knowledge of the Company, no current ten percent (10%) or greater shareholder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20</w:t>
        <w:br/>
        <w:t xml:space="preserve">    (oo) Share Option Plans. Each share option granted by the Company was granted (i) in accordance with the terms of the applicable share option plan of the Company and (ii) with an exercise price at least equal to the fair market value of the Ordinary Shares on the date such share option would be considered granted under GAAP and applicable law. No share option granted under the Company’s share option plan has been backdated. The Company has not knowingly granted, and there is no and has been no policy or practice of the Company to knowingly grant, share options prior to, or otherwise knowingly coordinate the grant of share options with, the release or other public announcement of material information regarding the Company or its Subsidiaries or their financial results or prospects.</w:t>
        <w:br/>
        <w:t xml:space="preserve">  (pp)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(qq) No Additional Agreements. The Company does not have any agreement or understanding with any Buyer with respect to the transactions contemplated by the Transaction Documents other than as specified in the Transaction Documents.</w:t>
        <w:br/>
        <w:t xml:space="preserve">  (rr) Public Utility Holding Company Act. None of the Company nor any of its Subsidiaries is a “holding company,” or an “affiliate” of a “holding company,” as such terms are defined in the Public Utility Holding Act of 2005.</w:t>
        <w:br/>
        <w:t xml:space="preserve">  (ss) Federal Power Act. None of the Company nor any of its Subsidiaries is subject to regulation as a “public utility” under the Federal Power Act, as amended.</w:t>
        <w:br/>
        <w:t xml:space="preserve">  (tt)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21</w:t>
        <w:br/>
        <w:t xml:space="preserve">    (uu)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(vv) Registration Rights. No holder of securities of the Company has rights to the registration of any securities of the Company because of the filing of the Registration Statement or the issuance of the Securities hereunder that could expose the Company to material liability or any Buyer to any liability or that could impair the Company’s ability to consummate the issuance and sale of the Securities in the manner, and at the times, contemplated hereby, which rights have not been waived by the holder thereof as of the date hereof.</w:t>
        <w:br/>
        <w:t xml:space="preserve">  (ww) 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 xml:space="preserve">  22</w:t>
        <w:br/>
        <w:t xml:space="preserve">    (xx)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(yy) Other Covered Persons. The Company is not aware of any Person (other than the Placement Agent) that has been or will be paid (directly or indirectly) remuneration for solicitation of Buyers or potential purchasers in connection with the sale of any Regulation D Securities.</w:t>
        <w:br/>
        <w:t xml:space="preserve">  4. COVENANTS.</w:t>
        <w:br/>
        <w:t xml:space="preserve">  (a) Best Efforts. Each Buyer shall use its best efforts to timely satisfy each of the covenants hereunder and conditions to be satisfied by it as provided in Section 6 of this Agreement. The Company shall use its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(f) Reporting Status. Until the date on which the Buyers shall have sold all of the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The Company shall take all actions necessary to maintain its eligibility to register the Securities for resale by the Buyers on Form F-3.</w:t>
        <w:br/>
        <w:t xml:space="preserve">  23</w:t>
        <w:br/>
        <w:t xml:space="preserve">    (g) Use of Proceeds. The Company will use the proceeds from the sale of the Securities as described in the Prospectus Supplement, but not, directly or indirectly, for (i) the satisfaction of any indebtedness of the Company or any of its Subsidiaries, (ii) the redemption or repurchase of any securities of the Company or any of its Subsidiaries, or (iii) the settlement of any outstanding litigation.</w:t>
        <w:br/>
        <w:t xml:space="preserve">  (h) Financial Information. The Company agrees to send the following to each holder of Notes (each, an “Investor”) during the Reporting Period (i) unless the following are filed with the SEC through XXXXX and are available to the public through the XXXXX system, within one (1) Business Day after the filing thereof with the SEC, a copy of its Annual Report on Form 20-F, Report of Foreign Issuer on Form 6-K, any other interim reports or any consolidated balance sheets, income statements, shareholders’ equity statements and/or cash flow statements for any period other than annual, any Report of Foreign Issuer on Form 6-K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shareholders of the Company generally, contemporaneously with the making available or giving thereof to the shareholders.</w:t>
        <w:br/>
        <w:t xml:space="preserve">  (i) Listing. The Company shall promptly secure the listing or designation for quotation (as the case may be) of all of the Underlying Securities upon each national securities exchange and automated quotation system, if any, upon which the Ordinary Shares is then listed or designated for quotation (as the case may be) (subject to official notice of issuance) and shall maintain such listing or designation for quotation (as the case may be) of all Underlying Securities from time to time issuable under the terms of the Transaction Documents on such national securities exchange or automated quotation system. The Company shall maintain the Ordinary Shares’ listing or authorization for quotation (as the case may be) on the Principal Market, The New York Stock Exchange, the NYSE American, the Nasdaq Global Select Market, or the Nasdaq Global Market (each, an “Eligible Market”). Neither the Company nor any of its Subsidiaries shall take any action which could be reasonably expected to result in the delisting or suspension of the Ordinary Shares on an Eligible Market. The Company shall pay all fees and expenses in connection with satisfying its obligations under this Section 4(i). “Underlying Securities” means (i) the Conversion Shares and (ii) any share capital of the Company issued or issuable with respect to the Conversion Shares or the Notes, respectively, including, without limitation, (1) as a result of any stock split, stock dividend, recapitalization, exchange or similar event or otherwise and (2) ordinary shares of the Company into which the Ordinary Shares are converted or exchanged and share capital of a Successor Entity (as defined in the Notes) into which the Ordinary Shares are converted or exchanged, in each case, without regard to any limitations on conversion of the Notes.</w:t>
        <w:br/>
        <w:t xml:space="preserve">  24</w:t>
        <w:br/>
        <w:t xml:space="preserve">    (j) Fees. The Company shall reimburse the lead Buyer for all costs and expenses incurred by it or its affiliates in connection with the structuring, documentation, diligence, negotiation and closing and post-closing, as applicable, of the transactions contemplated by the Transaction Documents (including, without limitation, as applicable, all reasonable legal fees of outside counsel and disbursements of Xxxxx Xxxxxxx LLP, counsel to the lead Buyer, any other reasonable fees and expenses in connection with the structuring, documentation, negotiation and closing of the transactions contemplated by the Transaction Documents and due diligence and regulatory filings in connection therewith) (the “Transaction Expenses”) and shall be withheld by the lead Buyer from its Purchase Price at the Closing, less $20,000 previously paid by the Company to the lead Buyer; provided, that the Company shall promptly reimburse Xxxxx Xxxxxxx LLP on demand for all Transaction Expenses not so reimbursed through such withholding at the Closing.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(k)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of otherwise make any delivery to the Company pursuant to this Agreement or any other Transaction Document, including, without limitation, Section 2(j) hereof; provided, that an Investor and its pledgee shall be required to comply with the provisions of Section 2(j)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(l) Disclosure of Transactions and Other Material Information.</w:t>
        <w:br/>
        <w:t xml:space="preserve">  (i) Disclosure of Transaction. The Company shall, on or before 9:30 a.m., New York time, on the first (1st) Business Day after the date of this Agreement, (A) issue a press release (the “Press Release”) reasonably acceptable to the Buyers disclosing all material terms of the transactions contemplated by the Transaction Documents and (B) file a Report of Foreign Issuer on Form 6-K describing all the material terms of the transactions contemplated by the Transaction Documents in the form required by the 1934 Act and attaching all the material Transaction Documents (including, without limitation, this Agreement (and all schedules to this Agreement) and the form of Notes) (including all attachments, the “6-K Filing”). From and after the filing of the 6-K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6-K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25</w:t>
        <w:br/>
        <w:t xml:space="preserve">    (ii)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In the event of a breach of any of the foregoing covenants, including, without limitation, Section 4(q)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such Buyer may deliver written notice to the Company to request that the Company promptly publicly release such applicable material, non-public information. If the Company fails to publicly release such material, non-public information on or prior to the second (2nd) Trading Day after such written notice by such Buyer,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shareholders or agents, for any such disclosure. To the extent that the Company delivers any material, non-public information to a Buyer without such Xxxxx’s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6-K Filings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except as required by applicable law or regulations; provided, however, that with respect to any filing or submission required by applicable law or regulations, (i) such filing or submission shall contain only such information as is necessary or advisable to comply with applicable law or regulations and (ii) unless specifically prohibited by applicable law or court order, the Company shall promptly notify the Buyers of the requirement to make such submission or filing and provide the Buyers with a copy thereof.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26</w:t>
        <w:br/>
        <w:t xml:space="preserve">    (iii) Other Confidential Information; Disclosure Failures; Disclosure Delay Payments. In addition to other remedies set forth in this Section 4(l), and without limiting anything set forth in any other Transaction Document, at any time after the Closing Date if the Company, any of its Subsidiaries, or any of their respective officers, directors, employees or agents, provides any Buyer with material non-public information relating to the Company or any of its Subsidiaries (each, the “Confidential Information”), the Company shall, on or prior to the applicable Required Disclosure Date (as defined below), publicly disclose such Confidential Information on a Report of Foreign Issuer on Form 6-K or otherwise (each, a “Disclosure”). From and after such Disclosure, the Company shall have disclosed all Confidential Information provided to such Buyer by the Company or any of its Subsidiaries or any of their respective officers, directors, employees or agents in connection with the transactions contemplated by the Transaction Documents. In addition, effective upon such Disclosure,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 In the event that the Company fails to effect such Disclosure on or prior to the Required Disclosure Date and such Buyer shall have possessed Confidential Information for at least ten (10) consecutive Trading Days (each, a “Disclosure Failure”), then, as partial relief for the damages to such Buyer by reason of any such delay in, or reduction of, its ability to buy or sell shares of Common Stock after such Required Disclosure Date (which remedy shall not be exclusive of any other remedies available at law or in equity), the Company shall pay to such Buyer an amount in cash equal to the greater of (I) one and one-half percent (1.5%) of the aggregate Purchase Price and (II) the applicable Disclosure Restitution Amount, on each of the following dates (each, a “Disclosure Delay Payment Date”): (i) on the date of such Disclosure Failure and (ii) on every thirty (30) day anniversary such Disclosure Failure until the earlier of (x) the date such Disclosure Failure is cured and (y) such time as all such non-public information provided to such Buyer shall cease to be Confidential Information (as evidenced by a certificate, duly executed by an authorized officer of the Company to the foregoing effect) (such earlier date, as applicable, a “Disclosure Cure Date”). Following the initial Disclosure Delay Payment for any particular Disclosure Failure, without limiting the foregoing, if a Disclosure Cure Date occurs prior to any thirty (30) day anniversary of such Disclosure Failure, then such Disclosure Delay Payment (prorated for such partial month) shall be made on the second (2nd) Business Day after such Disclosure Cure Date. The payments to which an Investor shall be entitled pursuant to this Section 4(l)(iii) are referred to herein as “Disclosure Delay Payments.” In the event the Company fails to make Disclosure Delay Payments in a timely manner in accordance with the foregoing, such Disclosure Delay Payments shall bear interest at the rate of two percent (2%) per month (prorated for partial months) until paid in full.</w:t>
        <w:br/>
        <w:t xml:space="preserve">  For the purpose of this Agreement the following definitions shall apply:</w:t>
        <w:br/>
        <w:t xml:space="preserve">  A. “Disclosure Failure Market Price” means, as of any Disclosure Delay Payment Date, the price computed as the quotient of (I) the sum of the five (5) highest VWAPs (as defined in the Notes) of the Ordinary Shares during the applicable Disclosure Restitution Period (as defined below), divided by (II) five (5) (such period, the “Disclosure Failure Measuring Period”). All such determinations to be appropriately adjusted for any share dividend, share split, share combination, reclassification or similar transaction that proportionately decreases or increases the Common Stock during such Disclosure Failure Measuring Period.</w:t>
        <w:br/>
        <w:t xml:space="preserve">  27</w:t>
        <w:br/>
        <w:t xml:space="preserve">    B. “Disclosure Restitution Amount” means, as of any Disclosure Delay Payment Date, the product of (x) difference of (I) the Disclosure Failure Market Price less (II) the lowest purchase price, per Ordinary Share, of any Ordinary Share issued or issuable to such Buyer pursuant to this Agreement or any other Transaction Documents, multiplied by (y) 10% of the aggregate daily dollar trading volume (as reported on Bloomberg (as defined in the Notes)) of the Ordinary Shares on the Principal Market for each Trading Day (as defined in the Notes) either (1) with respect to the initial Disclosure Delay Payment Date, during the period commencing on the applicable Required Disclosure Date through and including the Trading Day immediately prior to the initial Disclosure Delay Payment Date or (2) with respect to each other Disclosure Delay Payment Date, during the period commencing the immediately preceding Disclosure Delay Payment Date through and including the Trading Day immediately prior to such applicable Disclosure Delay Payment Date (such applicable period, the “Disclosure Restitution Period”).</w:t>
        <w:br/>
        <w:t xml:space="preserve">  C. “Required Disclosure Date” means (x) if such Buyer authorized the delivery of such Confidential Information, either (I) if the Company and such Buyer have mutually agreed upon a date (as evidenced by an e-mail or other writing) of Disclosure of such Confidential Information, such agreed upon date or (II) otherwise, the seventh (7th) calendar day after the date such Buyer first received any Confidential Information or (y) if such Buyer did not authorize the delivery of such Confidential Information, the first (1st) Business Day after such Xxxxx’s receipt of such Confidential Information.</w:t>
        <w:br/>
        <w:t xml:space="preserve">  (m) Additional Issuance of Securities. So long as any Buyer beneficially owns any Securities, the Company will not, without the prior written consent of the Required Holders, issue any Notes (other than to the Buyers as contemplated hereby) and the Company shall not issue any other securities that would cause a breach or default under the Notes. The Company agrees that for a period commencing on a Closing Date hereunder, through, and including, one (1) year anniversary of the Closing Date (each, a “Restricted Period”), neither the Company nor any of its Subsidiaries shall directly or indirectly:</w:t>
        <w:br/>
        <w:t xml:space="preserve">  (i) except as set forth in Section 4(cc), file a registration statement under the 1933 Act relating to securities that are not the Underlying Securities (other than a registration statement on Form S-4, Form S-8 or such supplements or amendments to registration statements that are outstanding and have been declared effective by the SEC as of the date hereof (including the Registration Statement, provided that the Registration Statement shall not have been declared effective as of the date hereof) (solely to the extent necessary to keep such registration statements effective and available and not with respect to any Subsequent Placement)); or</w:t>
        <w:br/>
        <w:t xml:space="preserve">  28</w:t>
        <w:br/>
        <w:t xml:space="preserve">    (ii) issue, offer, sell, grant any option or right to purchase, or otherwise dispose of (or announce any issuance, offer, sale, grant of any option or right to purchase or other disposition of) any equity security or any equity-linked or related security (including, without limitation, any “equity security” (as that term is defined under Rule 405 promulgated under the 1933 Act)), any Convertible Securities (as defined below), any debt, any preferred shares or any purchase rights) (any such issuance, offer, sale, grant, disposition or announcement (whether occurring during the Restricted Period or at any time thereafter) is referred to as a “Subsequent Placement”). Notwithstanding the foregoing, this Section 4(m) shall not apply in respect of the issuance of (A) Ordinary Shares or standard options to purchase Ordinary Shares to directors, officers, consultants, advisors, or employees of the Company in their capacity as such pursuant to an Approved Share Plan (as defined below), provided that (1) all such issuances (taking into account the Ordinary Shares issuable upon exercise of such options) after the date hereof pursuant to this clause (A) do not, in the aggregate, exceed more than 15% of the Ordinary Shares issued and outstanding on an annual basis immediately prior to the date hereof and (2) the exercise price of any such options is not lowered, none of such options are amended to increase the number of shares issuable thereunder and none of the terms or conditions of any such options are otherwise materially changed in any manner that materially and adversely affects any of the Buyers, other than in connection with adjustments for share splits, share dividends, share combinations, recapitalizations or other similar transactions; (B) Ordinary Shares issued upon the conversion or exercise of Convertible Securities (other than standard options to purchase Ordinary Shares issued pursuant to an Approved Share Plan that are covered by clause (A) above) issued prior to the date hereof, provided that the conversion, exercise or other method of issuance (as the case may be) of any such Convertible Security is made solely pursuant to the conversion, exercise or other method of issuance (as the case may be) provisions of such Convertible Security that were in effect on the date immediately prior to the date of this Agreement, the conversion, exercise or issuance price of any such Convertible Securities (other than standard options to purchase Ordinary Shares issued pursuant to an Approved Share Plan that are covered by clause (A) above) is not lowered, none of such Convertible Securities (other than standard options to purchase Ordinary Shares issued pursuant to an Approved Share Plan that are covered by clause (A) above) are amended to increase the number of shares issuable thereunder and none of the terms or conditions of any such Convertible Securities (other than standard options to purchase Ordinary Shares issued pursuant to an Approved Share Plan that are covered by clause (A) above) are otherwise materially changed in any manner that adversely affects any of the Buyers; (C) the Conversion Shares; and (D) issuances of debt or equity securities of the Company to any Buyer or affiliates thereof (each of the foregoing in clauses (A) through (D), collectively the “Excluded Securities”). “Approved Share Plan” means any employee benefit plan which has been approved by the board of directors of the Company prior to or subsequent to the date hereof pursuant to which Ordinary Shares and standard options to purchase Ordinary Shares may be issued to any employee, consultant, advisor, officer or director for services provided to the Company in their capacity as such.</w:t>
        <w:br/>
        <w:t xml:space="preserve">  29</w:t>
        <w:br/>
        <w:t xml:space="preserve">    (n) Reservation of Shares. So long as any of the Notes remain outstanding, the Company shall take all action necessary to at all times have authorized, and reserved for the purpose of issuance, no less than 100% of the sum of (i) the maximum number of Ordinary Shares issuable upon conversion of all the Notes then outstanding (assuming for purposes hereof that (x) the Notes are convertible at the Floor Price as of such applicable date of determination, (y) interest on the Notes shall accrue through the third anniversary of the Closing Date and will be converted in Ordinary Shares at a conversion price equal to the Floor Price as of such applicable date of determination and (z) any such conversion shall not take into account any limitations on the conversion of the Notes set forth in the Notes)) (collectively, the “Required Reserve Amount”); provided that at no time shall the number of Ordinary Shares reserved pursuant to this Section 4(n) be reduced other than proportionally in connection with any conversion and/or redemption, as applicable of Notes. If at any time the number of Ordinary Shares authorized and reserved for issuance is not sufficient to meet the Required Reserve Amount, the Company will promptly take all corporate action necessary to authorize and reserve a sufficient number of shares, including, without limitation, calling a meeting of shareholders to authorize additional shares to meet the Company’s obligations pursuant to the Transaction Documents, in the case of an insufficient number of authorized shares, obtain shareholder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(o)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(p) Other Notes; Variable Securities. Until the three (3) month anniversary of the date hereof, the Company and each Subsidiary shall be prohibited from effecting or entering into an agreement to effect any Subsequent Placement involving a Variable Rate Transaction. “Variable Rate Transaction” means a transaction in which the Company or any Subsidiary (i) issues or sells any Convertible Securities either (A) at a conversion, exercise or exchange rate or other price that is based upon and/or varies with the trading prices of or quotations for the Ordinary Shares at any time after the initial issuance of such Convertible Securities, or (B) with a conversion, exercise or exchange price that is subject to being reset at some future date after the initial issuance of such Convertible Securities or upon the occurrence of specified or contingent events directly or indirectly related to the business of the Company or the market for the Ordinary Shares, other than pursuant to a customary “weighted average” anti-dilution provision or (ii) enters into any agreement (including, without limitation, an equity line of credit or an “at-the-market” offering) whereby the Company or any Subsidiary may sell securities at a future determined price (other than standard and customary “preemptive” or “participation” rights); provided, however, that the definition of Variable Rate Transaction shall not include issuances of debt or equity securities of the Company to any Buyer or affiliates thereof. Each Buyer shall be entitled to obtain injunctive relief against the Company and its Subsidiaries to preclude any such issuance, which remedy shall be in addition to any right to collect damages.</w:t>
        <w:br/>
        <w:t xml:space="preserve">  30</w:t>
        <w:br/>
        <w:t xml:space="preserve">    (q) Participation Right. For a period of two (2) years following the Closing Date, neither the Company nor any of its Subsidiaries shall, directly or indirectly, effect any Subsequent Placement unless the Company shall have first complied with this Section 4(q). The Company acknowledges and agrees that the right set forth in this Section 4(q) is a right granted by the Company, separately, to each Buyer.</w:t>
        <w:br/>
        <w:t xml:space="preserve">  (i) At least three (3)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(as defined below) with respect to such Subsequent Placement upon its written request. Upon the written request of a Buyer within two (2) Trading Day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100% of the Offered Securities, provided that the number of Offered Securities which such Buyer shall have the right to subscribe for under this Section 4(q) shall be (x) based on such Buyer’s pro rata portion of the aggregate original principal amount of the Notes purchased hereunder by all Buyers (the “Basic Amount”), and (y) with respect to each Buyer that elects to purchase its Basic Amount, any additional portion of the Offered Securities attributable to the Basic Amounts of other Buyers as 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w:t>
        <w:br/>
        <w:t xml:space="preserve">  (ii) To accept an Offer, in whole or in part, such Buyer must deliver a written notice to the Company prior to the end of the second (2nd)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third (3rd) Business Day after such Xxxxx’s receipt of such new Offer Notice.</w:t>
        <w:br/>
        <w:t xml:space="preserve">  31</w:t>
        <w:br/>
        <w:t xml:space="preserve">    (iii) 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Report of Foreign Issuer on Form 6-K with such Subsequent Placement Agreement and any documents contemplated therein filed as exhibits thereto.</w:t>
        <w:br/>
        <w:t xml:space="preserve">  (iv) In the event the Company shall propose to sell less than all the Refused Securities (any such sale to be in the manner and on the terms specified in Section 4(q)(iii)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4(q)(ii) above multiplied by a fraction, (i) the numerator of which shall be the number or amount of Offered Securities the Company actually proposes to issue, sell or exchange (including Offered Securities to be issued or sold to Buyers pursuant to this Section 4(q)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4(q)(i) above.</w:t>
        <w:br/>
        <w:t xml:space="preserve">  (v) 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4(q)(iv)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(vi) Any Offered Securities not acquired by a Buyer or other Persons in accordance with this Section 4(q) may not be issued, sold or exchanged until they are again offered to such Buyer under the procedures specified in this Agreement.</w:t>
        <w:br/>
        <w:t xml:space="preserve">  32</w:t>
        <w:br/>
        <w:t xml:space="preserve">    (vii) 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no less favorable to the Buyer than the registration rights contained in this Agreement.</w:t>
        <w:br/>
        <w:t xml:space="preserve">  (viii) Notwithstanding anything to the contrary in this Section 4(q)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4(q). The Company shall not be permitted to deliver more than one such Offer Notice to such Buyer in any sixty (60) day period, except as expressly contemplated by the last sentence of Section 4(q)(ii).</w:t>
        <w:br/>
        <w:t xml:space="preserve">  (ix) The restrictions contained in this Section 4(q) shall not apply in connection with the issuance of any Excluded Securities. The Company shall not circumvent the provisions of this Section 4(q) by providing terms or conditions to one Buyer that are not provided to all.</w:t>
        <w:br/>
        <w:t xml:space="preserve">  (r) Dilutive Issuances. For so long as any Notes remain outstanding, the Company shall not, in any manner, enter into or affect any Dilutive Issuance (as defined in the Notes) if the effect of such Dilutive Issuance is to cause the Company to be required to issue upon conversion of any Notes any Ordinary Shares in excess of that number of Ordinary Shares which the Company may issue upon conversion of the Notes without breaching the Company’s obligations under the rules or regulations of the Principal Market.</w:t>
        <w:br/>
        <w:t xml:space="preserve">  (s)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(t) [Reserved]</w:t>
        <w:br/>
        <w:t xml:space="preserve">  33</w:t>
        <w:br/>
        <w:t xml:space="preserve">    (u) Corporate Existence. So long as any Buyer beneficially owns any Notes, the Company shall not be party to any Fundamental Transaction (as defined in the Notes) unless the Company is in compliance with the applicable provisions governing Fundamental Transactions set forth in the Notes.</w:t>
        <w:br/>
        <w:t xml:space="preserve">  (v) Share Splits. Until the Notes are no longer outstanding, the Company shall not effect any share combination, reverse share split or other similar transaction (or make any public announcement or disclosure with respect to any of the foregoing) without the prior written consent of the Required Holders (as defined below), except that prior written consent of the Require Holders shall not be necessary, if such share combination, reverse share split or other similar transaction is for compliance with continued listing requirements of the Principal Market or the Eligible Market the Ordinary Shares of the Company are then listed.</w:t>
        <w:br/>
        <w:t xml:space="preserve">  (w) Conversion Procedures. The form of Conversion Notice (as defined in the Notes) included in the Notes set forth the totality of the procedures required of the Buyers in order to convert the Notes. Except as provided in Section 5(d), no additional legal opinion, other information or instructions shall be required of the Buyers to convert their Notes. The Company shall honor conversions of the Notes and shall deliver the Conversion Shares in accordance with the terms, conditions and time periods set forth in the Notes. Without limiting the preceding sentences, no ink-original Conversion Notice shall be required, nor shall any medallion guarantee (or other type of guarantee or notarization) of any Conversion Notice form be required in order to convert the Notes.</w:t>
        <w:br/>
        <w:t xml:space="preserve">  (x) Regulation M. The Company will not take any action prohibited by Regulation M under the 1934 Act, in connection with the distribution of the Securities contemplated hereby.</w:t>
        <w:br/>
        <w:t xml:space="preserve">  (y)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(z) [Reserved].</w:t>
        <w:br/>
        <w:t xml:space="preserve">  (aa) Notice of Disqualification Event.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(bb) Closing Documents. On or prior to fourteen (14) calendar days after the Closing Date, the Company agrees to deliver, or cause to be delivered, to each Buyer and Xxxxx Xxxxxxx LLP a complete closing set of the executed Transaction Documents, Securities and any other document required to be delivered to any party pursuant to Section 7 hereof or otherwise.</w:t>
        <w:br/>
        <w:t xml:space="preserve">  34</w:t>
        <w:br/>
        <w:t xml:space="preserve">    (cc) Registration Statement. The Company shall, within thirty (45) calendar days of the date of this Agreement (the “Filing Deadline”), file an amendment (the “F-3 Amendment”) to the Company’s Registration Statement on Form F-3 (Registration No. 333-283030) (as so amended, the “Registration Statement”), which F-3 Amendment shall include a prospectus providing for the resale by the Buyers of all Conversion Shares. The Company shall cause such Registration Statement to become effective within one hundred five (105) days following the date hereof (the “Effectiveness Deadline”) and to keep such Registration Statement effective at all times until no Buyer owns any Notes or Conversion Shares issuable upon conversion thereof. If (i) the Registration Statement covering the resale of all of the Conversion Shares required to be covered thereby and required to be filed by the Company pursuant to this Agreement is (A) not filed with the SEC on or before the Filing Deadline for such Registration Statement (a “Filing Failure”) (it being understood that if the Company files a Registration Statement without affording each Investor and legal counsel thereto the opportunity to review and comment on the same, the Company shall be deemed to not have satisfied this clause (i)(A) and such event shall be deemed to be a Filing Failure) or (B) not declared effective by the SEC on or before the Effectiveness Deadline for such Registration Statement (an “Effectiveness Failure”) (it being understood that if on the Business Day immediately following the date on which the Registration Statement has been declared effective by the SEC (the “Effective Date”) the Company shall not have filed a “final” prospectus for such Registration Statement with the SEC under Rule 424(b) (whether or not such a prospectus is technically required by such rule), the Company shall be deemed to not have satisfied this clause (i)(B) and such event shall be deemed to be an Effectiveness Failure), (ii) on any day after the Effective Date of a Registration Statement sales of all of the Conversion Shares required to be included on such Registration Statement cannot be made pursuant to such Registration Statement (including, without limitation, because of a failure to keep such Registration Statement effective, a failure to disclose such information as is necessary for sales to be made pursuant to such Registration Statement, a suspension or delisting of (or a failure to timely list) the Ordinary Shares on the Principal Market or any other limitations imposed by the Principal Market, or a failure to register a sufficient number of Ordinary Shares or by reason of a stop order) or the prospectus contained therein is not available for use for any reason (a “Maintenance Failure”), or (iii) if the Registration Statement is not effective for any reason or the prospectus contained therein is not available for use for any reason, and either (x) the Company fails for any reason to satisfy the requirements of Rule 144(c)(1), including, without limitation, the failure to satisfy the current public information requirement under Rule 144(c) or (y) the Company has ever been an issuer described in Rule 144(i)(1)(i) or becomes such an issuer in the future, and the Company shall fail to satisfy any condition set forth in Rule 144(i)(2) (a “Current Public Information Failure”) as a result of which any of the Investors are unable to sell Registrable Securities without restriction under Rule 144 (including, without limitation, volume restrictions), then, as partial relief for the damages to any holder by reason of any such delay in, or reduction of, its ability to sell the underlying Ordinary Shares (which remedy shall not be exclusive of any other remedies available at law or in equity, including, without limitation, specific performance), the Company shall pay to each holder of Securities relating to such Registration Statement an amount in cash equal to two percent (2%) of such Investor’s original principal amount stated in such Investor’s Note on the Closing Date (1) on the date of such Filing Failure, Effectiveness Failure, Maintenance Failure or Current Public Information Failure, as applicable, and (2) on every thirty (30) day anniversary of (I) a Filing Failure until such Filing Failure is cured; (II) an Effectiveness Failure until such Effectiveness Failure is cured; (III) a Maintenance Failure until such Maintenance Failure is cured; and (IV) a Current Public Information Failure until the earlier of (i) the date such Current Public Information Failure is cured and (ii) such time that such public information is no longer required pursuant to Rule 144 (in each case, prorated for periods totaling less than thirty (30) days). The payments to which a holder of Securities shall be entitled pursuant to this Section 4(cc) are referred to herein as “Registration Delay Payments.” Following the initial Registration Delay Payment for any particular event or failure (which shall be paid on the date of such event or failure, as set forth above), without limiting the foregoing, if an event or failure giving rise to the Registration Delay Payments is cured prior to any thirty (30) day anniversary of such event or failure, then such Registration Delay Payment shall be made on the third (3rd) Business Day after such cure. In the event the Company fails to make Registration Delay Payments in a timely manner in accordance with the foregoing, such Registration Delay Payments shall bear interest at the rate of two percent (2%) per month (prorated for partial months) until paid in full. Notwithstanding the foregoing, no Registration Delay Payments shall be owed to an Investor (other than with respect to a Maintenance Failure resulting from a suspension or delisting of (or a failure to timely list) the Ordinary Shares on the Principal Market) with respect to any period during which all of such Investor’s Securities may be sold by such Investor without restriction under Rule 144 (including, without limitation, volume restrictions) and without the need for current public information required by Rule 144(c)(1) (or Rule 144(i)(2), if applicable).</w:t>
        <w:br/>
        <w:t xml:space="preserve">  35</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Notes in which the Company shall record the name and address of the Person in whose name the Notes have been issued (including the name and address of each transferee), the principal amount of the Notes held by such Person and the number of Conversion Shares issuable pursuant to the terms of the Notes. The Company shall keep the register open and available at all times during business hours for inspection of any Buyer or its legal representatives.</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in such amounts as specified from time to time by each Buyer to the Company upon conversion of the Notes. The Company represents and warrants that no instruction other than the Irrevocable Transfer Agent Instructions referred to in this Section 5(b)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any Securities,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if requested or required, as applicable, by the Transfer Agent, to the Transfer Agent as follows: (i) upon each conversion of the Notes (unless such issuance is covered by a prior legal opinion previously delivered to the Transfer Agent) and (ii) on each date a registration statement with respect to the issuance or resale of any Securities is declared effective by the SEC. Any fees (with respect to the transfer agent, counsel to the Company or otherwise) associated with the issuance of such opinion or the removal of any legends on any of the Securities shall be borne by the Company.</w:t>
        <w:br/>
        <w:t xml:space="preserve">  36</w:t>
        <w:br/>
        <w:t xml:space="preserve">    (c) Legends. Each Buyer understands that the Securities have been issued (or will be issued in the case of the Conversion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credit the aggregate number of Ordinary Shares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Ordinary Shares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37</w:t>
        <w:br/>
        <w:t xml:space="preserve">    (e) Failure to Timely Deliver; Buy-In. If the Company fails to fail, for any reason or for no reason, to issue and deliver (or cause to be delivered) to a Buyer (or its designee) by the Required Delivery Date, either (I) if the Transfer Agent is not participating in FAST, a certificate for the number of Conversion Shares to which such Buyer is entitled and register such Conversion Shares on the Company’s share register or, if the Transfer Agent is participating in FAST, to credit the balance account of such Buyer or such Buyer’s designee with DTC for such number of Conversion Shares submitted for legend removal by such Buyer pursuant to Section 5(d) above or (II) if the Registration Statement covering the resale of the Conversion Shares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Conversion Shares electronically without any restrictive legend by crediting such aggregate number of Conversion Shares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2% of the product of (A) the sum of the number of Ordinary Shares not issued to such Buyer on or prior to the Required Delivery Date and to which such Buyer is entitled, and (B) any trading price of the Ordinary Shares selected by such Buyer in writing as in effect at any time during the period beginning on the date of the delivery by such Buyer to the Company of the applicable Conversion Shares and ending on the applicable Share Delivery Date. In addition to the foregoing, if on or prior to the Required Delivery Date either (I) if the Transfer Agent is not participating in FAST, the Company shall fail to issue and deliver a certificate to a Buyer and register such Ordinary Shares on the Company’s share register or, if the Transfer Agent is participating in FAST, credit the balance account of such Buyer or such Buyer’s designee with DTC for the number of Ordinary Shares to which such Buyer submitted for legend removal by such Buyer pursuant to Section 5(d) above (ii) below or (II) a Notice Failure occurs, and if on or after such Trading Day such Buyer purchases (in an open market transaction or otherwise) Ordinary Shares to deliver in satisfaction of a sale by such Buyer of Ordinary Shares submitted for legend removal by such Buyer pursuant to Section 5(d) above that such Buyer is entitled to receive from the Company (a “Buy-In”), then the Company shall, within two (2) Trading Days after such Buyer’s request and in such Buyer’s discretion, either (i) pay cash to such Buyer in an amount equal to such Buyer’s total purchase price (including brokerage commissions and other out-of-pocket expenses, if any, for the Ordinary Shares so purchased)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Ordinary Shares that would have been so delivered if the Company timely complied with its obligations hereunder and pay cash to such Buyer in an amount equal to the excess (if any) of the Buy-In Price over the product of (A) such number of shares of Conversion Shares that the Company was required to deliver to such Buyer by the Required Delivery Date multiplied by (B) the lowest Closing Sale Price (as defined in the Notes) of the Ordinary Shares on any Trading Day during the period commencing on the date of the delivery by such Buyer to the Company of the applicable Conversion Shares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Ordinary Shares (or to electronically deliver such Ordinary Shares)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Note held by such Buyer.</w:t>
        <w:br/>
        <w:t xml:space="preserve">  38</w:t>
        <w:br/>
        <w:t xml:space="preserve">    (f) FAST Compliance. While any Notes remain outstanding, the Company shall maintain a transfer agent that participates in FAST.</w:t>
        <w:br/>
        <w:t xml:space="preserve">  6. CONDITIONS TO THE COMPANY’S OBLIGATION TO SELL.</w:t>
        <w:br/>
        <w:t xml:space="preserve">  The obligation of the Company hereunder to issue and sell the Notes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(a) Such Buyer shall have executed each of the other Transaction Documents to which it is a party and delivered the same to the Company.</w:t>
        <w:br/>
        <w:t xml:space="preserve">  (b) Such Buyer and each other Buyer shall have delivered to the Company the Purchase Price (less, in the case of any Buyer, the amounts withheld pursuant to Section 4(j)) for the Note being purchased by such Buyer at the Closing by wire transfer of immediately available funds in accordance with the Flow of Funds Letter.</w:t>
        <w:br/>
        <w:t xml:space="preserve">  (c)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7. CONDITIONS TO EACH BUYER’S OBLIGATION TO PURCHASE.</w:t>
        <w:br/>
        <w:t xml:space="preserve">  The obligation of each Buyer hereunder to purchase its Note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(a) The Company and each Subsidiary (as the case may be) shall have duly executed and delivered to such Buyer each of the Transaction Documents to which it is a party and the Company shall have duly executed and delivered to such Buyer a Note in such original principal amount as is set forth across from such Buyer’s name in column (2) of the Schedule of Buyers being purchased by such Buyer at the Closing pursuant to this Agreement.</w:t>
        <w:br/>
        <w:t xml:space="preserve">  (b) Such Buyer shall have received the legal opinion with respect to matters of U.S. law of Xxxxxx Xxxxxxx Xxxxxxx &amp; Li LLC, the Company’s United States counsel, dated as of the Closing Date, in the form acceptable to such Buyer.</w:t>
        <w:br/>
        <w:t xml:space="preserve">  (c) The Company shall have delivered to such Buyer a copy of the Irrevocable Transfer Agent Instructions, in the form acceptable to such Buyer, which instructions shall have been delivered to and acknowledged in writing by the Company’s transfer agent and shall remain in full force and effect as of the Closing Date.</w:t>
        <w:br/>
        <w:t xml:space="preserve">  39</w:t>
        <w:br/>
        <w:t xml:space="preserve">    (d) The Company shall have delivered to such Buyer a certificate evidencing the formation and good standing (if a good standing concept exists in such jurisdiction) of the Company and each of its North American Subsidiaries in each such entity’s jurisdiction of formation issued by the Secretary of State (or comparable office) of such jurisdiction of formation as of a date within ten (10) days of the Closing Date. As used herein, “North American Subsidiary” shall mean each Subsidiary domiciled in the United States of America or Canada.</w:t>
        <w:br/>
        <w:t xml:space="preserve">  (e) [Reserved]</w:t>
        <w:br/>
        <w:t xml:space="preserve">  (f) [Reserved]</w:t>
        <w:br/>
        <w:t xml:space="preserve">  (g) [Reserved]</w:t>
        <w:br/>
        <w:t xml:space="preserve">  (h) The Company shall have delivered to such Buyer a certificate, in the form acceptable to such Buyer, executed by the Secretary or the Chief Financial Officer of the Company and dated as of the Closing Date, as to (i) the resolutions consistent with Section 3(b) as adopted by the Company’s board of directors in a form reasonably acceptable to such Buyer, (ii) the certificate of incorporation, as amended, of the Company and (iii) the Memorandum and Articles of Association of the Company, each as in effect at the Closing.</w:t>
        <w:br/>
        <w:t xml:space="preserve">  (i) Each and every representation and warranty of the Company shall be true and correct in all material respects (except for such representations and warranties that are qualified by materiality or material adverse effect, which shall be true and correct in all respects) as of the date when made and as of the Closing Date as though originally made at that time (except for representations and warranties that speak as of a specific date, which shall be true and correct as of such specific date) and the Company shall have performed, satisfied and complied in all material respects with (except for covenants, agreements or conditions that are qualified by materiality or material adverse effect, which shall be performed, satisfied and complied in all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(j) The Company shall have delivered to such Buyer a letter from the Company’s transfer agent certifying the number of Ordinary Shares outstanding on the Closing Date immediately prior to the Closing.</w:t>
        <w:br/>
        <w:t xml:space="preserve">  (k) The Ordinary Shares (A) shall be designated for quotation or listed (as applicable) on the Principal Market and (B)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40</w:t>
        <w:br/>
        <w:t xml:space="preserve">    (l) The Company shall have obtained all governmental, regulatory or third party consents and approvals, if any, necessary for the sale of the Securities, including without limitation, those required by the Principal Market, if any.</w:t>
        <w:br/>
        <w:t xml:space="preserve">  (m)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(n) Since the date of execution of this Agreement, no event or series of events shall have occurred that reasonably would have or result in a Material Adverse Effect.</w:t>
        <w:br/>
        <w:t xml:space="preserve">  (o) The Company shall have obtained approval of the Principal Market to list or designate for quotation (as the case may be) the Conversion Shares.</w:t>
        <w:br/>
        <w:t xml:space="preserve">  (p)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(q) From the date hereof to the Closing Date, (i) trading in the Ordinary Shares shall not have been suspended by the SEC or the Principal Market (except for any suspension of trading of limited duration, which suspension shall be terminated prior to the Closing) and (ii) at any time prior to the Closing Date, trading in securities generally as reported by Bloomberg L.P. shall not have been suspended or limited, or minimum prices shall not have been established on securities whose trades are reported by such service, or on the Principal Market, nor shall a banking moratorium have been declared either by the United States or New York State authorities nor shall there have occurred any material outbreak or escalation of hostilities or other national or international calamity of such magnitude in its effect on, or any material adverse change in, any financial market which, in each case, in the reasonable judgment of each Buyer, makes it impracticable or inadvisable to purchase the Securities at the Closing.</w:t>
        <w:br/>
        <w:t xml:space="preserve">  (r)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Notes shall be applicable only to such Buyer providing such written notice, provided further that no such termination shall affect any obligation of the Company under this Agreement to reimburse such Buyer for the expenses described in Section 4(j)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41</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provision or rule (whether of the State of Delaware or any other jurisdictions) that would cause the application of the laws of any jurisdictions other than the State of Delaware. The Company hereby irrevocably submits to the exclusive jurisdiction of the Court of Chancery of the State of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 The choice of the laws of the State of Delaware as the governing law of this Agreement is a valid choice of law and would be recognized and given effect to in any action brought before a court of competent jurisdiction in the Cayman Islands except for those laws (i) which such court considers to be procedural in nature, (ii) which are revenue or penal laws or (iii) the application of which would be inconsistent with public policy, as such term is interpreted under the laws of the Cayman Islands. The choice of laws of the State of Delaware as the governing law of this Agreement will be honored by competent courts in the Cayman Islands subject to compliance with relevant Cayman Islands civil procedural requirements. The Company or any of its properties, assets or revenues does not have any right of immunity, or to the extent that the Company or any of its properties, assets, or revenues may have or may hereafter become entitled to any such right of immunity the Company hereby waives such right to the extent permitted by law, under Cayman Islands or Delaware law, from any legal action, suit or proceeding, from the giving of any relief in any such legal action, suit or proceeding, from set-off or counterclaim, from the jurisdiction of any Cayman Islands, Delaware or United States federal court, from service of process, attachment upon or prior to judgment, or attachment in aid of execution of judgment, or from execution of a judgment, or other legal process or proceeding for the giving of any relief or for the enforcement of a judgment, in any such court, with respect to its obligations, liabilities or any other matter under or arising out of or in connection with this Agreement; and, to the extent that the Company, or any of its properties, assets or revenues may have or may hereafter become entitled to any such right of immunity in any such court in which proceedings may at any time be commenced, the Company hereby waives such right to the extent permitted by law and hereby consents to such relief and enforcement as provided in this Agreement and the other Transaction Documents.</w:t>
        <w:br/>
        <w:t xml:space="preserve">  42</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to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43</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Ordinary Shares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Notes. From the date hereof and while any Notes are outstanding, the Company shall not be permitted to receive any consideration from a Buyer or a holder of Notes that is not otherwise contemplated by the Transaction Documents in order to, directly or indirectly, induce the Company or any Subsidiary (i) to treat such Buyer or holder of Notes in a manner that is more favorable than to other similarly situated Buyers or holders of Notes, or (ii) to treat any Buyer(s) or holder(s) of Notes in a manner that is less favorable than the Buyer or holder of Notes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 modify or qualify in any manner or be an exception to any of, the Company’s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Closing Date, each Buyer entitled to purchase Notes at the Closing and (II) on or after the Closing Date, holders of a majority of the Underlying Securities as of such time (excluding any Underlying Securities held by the Company or any of its Subsidiaries as of such time) issued or issuable hereunder or pursuant to the Notes (or the Buyers, with respect to any waiver or amendment of Section 4(q)); provided, that such majority must include ATW Partners Opportunities Management, LLC.</w:t>
        <w:br/>
        <w:t xml:space="preserve">  44</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Top KingWin Ltd</w:t>
        <w:br/>
        <w:t>Xxxx 0000, Xxxxxxxx Xx. 00 Tian’an Headquarters Center, Xx. 000 Xxxxx Xxxxx Xxxxxx, Xxxxxxx Xxxxxx</w:t>
        <w:br/>
        <w:t>Panyu District, Guangzhou, Guangdong Province, PRC</w:t>
        <w:br/>
        <w:t>Telephone: x00 000 000 0000</w:t>
        <w:br/>
        <w:t>Attention: Xxxxxx Xx</w:t>
        <w:br/>
        <w:t>E-Mail: xxxxxx.xx@xxxxxx.xx</w:t>
        <w:br/>
        <w:t xml:space="preserve">  With a copy (for informational purposes only) to:</w:t>
        <w:br/>
        <w:t xml:space="preserve">  Xxxxxx Xxxxxxx Xxxxxxx &amp; Li LLC</w:t>
        <w:br/>
        <w:t>000 Xxxxx Xxxxxx, 00xx Xxxxx</w:t>
        <w:br/>
        <w:t>New York, NY 10022</w:t>
        <w:br/>
        <w:t>Telephone: (000) 000-0000</w:t>
        <w:br/>
        <w:t>Attention: Xxxx Xx</w:t>
        <w:br/>
        <w:t>E-Mail: xxx@xxxxxxxxxx.xxx</w:t>
        <w:br/>
        <w:t xml:space="preserve">  If to the Transfer Agent:</w:t>
        <w:br/>
        <w:t xml:space="preserve">  VStock Transfer LLC</w:t>
        <w:br/>
        <w:t>00 Xxxxxxxxx Xxxxx</w:t>
        <w:br/>
        <w:t>Woodmere, New York 11598</w:t>
        <w:br/>
        <w:t>Telephone: (000) 000-0000</w:t>
        <w:br/>
        <w:t>Attention: N/A</w:t>
        <w:br/>
        <w:t>E-Mail: xxxxxx@xxxxxxxxxxxxxx.xxx</w:t>
        <w:br/>
        <w:t xml:space="preserve">  If to a Buyer, to its mailing address and e-mail address set forth on the Schedule of Buyers, with copies to such Buyer’s representatives as set forth on the Schedule of Buyers,</w:t>
        <w:br/>
        <w:t xml:space="preserve">  with a copy (for informational purposes only) to:</w:t>
        <w:br/>
        <w:t xml:space="preserve">  Xxxxx Xxxxxxx LLP</w:t>
        <w:br/>
        <w:t>0 Xxxxx Xxxxxx, 00xx Xxxxx</w:t>
        <w:br/>
        <w:t>Xxx Xxxx, XX 00000</w:t>
        <w:br/>
        <w:t>Telephone: (000) 000-0000</w:t>
        <w:br/>
        <w:t>Attention: M. Xxx Xxxxxxxx, Esq.</w:t>
        <w:br/>
        <w:t>E-mail: xxxxxxxxx@xxxxxxxxxxxx.xxx</w:t>
        <w:br/>
        <w:t xml:space="preserve">  45</w:t>
        <w:br/>
        <w:t xml:space="preserve">    or to such other mailing address and/or e-mail address and/or to the attention of such other Person as the recipient party has specified by written notice given to each other party five (5) days prior to the effectiveness of such change, provided that Xxxxx Xxxxxxx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 Successors and Assigns. This Agreement shall be binding upon and inure to the benefit of the parties and their respective successors and assigns, including any purchasers of any of the Notes (but excluding any purchasers of Underlying Securities, unless pursuant to a written assignment by such Xxxxx). The Company shall not assign this Agreement or any rights or obligations hereunder without the prior written consent of the Required Holders, including, without limitation, by way of a Fundamental Transaction (as defined in the Notes) (unless the Company is in compliance with the applicable provisions governing a Fundamental Transaction (as defined in the Notes) (unless the Company is in compliance with the applicable provisions governing Fundamental Transactions set forth in the Notes).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46</w:t>
        <w:br/>
        <w:t xml:space="preserve">    (k) Indemnification.</w:t>
        <w:br/>
        <w:t xml:space="preserve">  (i)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shareholders,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w:t>
        <w:br/>
        <w:t xml:space="preserve">  (ii) Promptly after receipt by an Indemnitee under this Section 9(k) of notice of the commencement of any action or proceeding (including any governmental action or proceeding) involving an Indemnified Liability, such Indemnitee shall, if a claim in respect thereof is to be made against the Company under this Section 9(k), deliver to the Company a written notice of the commencement thereof, and the Company shall have the right to participate in, and, to the extent the Company so desires, to assume control of the defense thereof with counsel mutually satisfactory to the Company and the Indemnitee; provided, however, that an Indemnitee shall have the right to retain its own counsel with the fees and expenses of such counsel to be paid by the Company if: (A) the Company has agreed in writing to pay such fees and expenses; (B) the Company shall have failed promptly to assume the defense of such Indemnified Liability and to employ counsel reasonably satisfactory to such Indemnitee in any such Indemnified Liability; or (C) the named parties to any such Indemnified Liability (including any impleaded parties) include both such Indemnitee and the Company, and such Indemnitee shall have been advised by counsel that a conflict of interest is likely to exist if the same counsel were to represent such Indemnitee and the Company (in which case, if such Indemnitee notifies the Company in writing that it elects to employ separate counsel at the expense of the Company, then the Company shall not have the right to assume the defense thereof and such counsel shall be at the expense of the Company), provided further, that in the case of clause (C) above the Company shall not be responsible for the reasonable fees and expenses of more than one (1) separate legal counsel for the Indemnitees. The Indemnitee shall reasonably cooperate with the Company in connection with any negotiation or defense of any such action or Indemnified Liability by the Company and shall furnish to the Company all information reasonably available to the Indemnitee which relates to such action or Indemnified Liability. The Company shall keep the Indemnitee reasonably apprised at all times as to the status of the defense or any settlement negotiations with respect thereto. The Company shall not be liable for any settlement of any action, claim or proceeding effected without its prior written consent, provided, however, that the Company shall not unreasonably withhold, delay or condition its consent. The Company shall not, without the prior written consent of the Indemnitee, consent to entry of any judgment or enter into any settlement or other compromise which does not include as an unconditional term thereof the giving by the claimant or plaintiff to such Indemnitee of a release from all liability in respect to such Indemnified Liability or litigation, and such settlement shall not include any admission as to fault on the part of the Indemnitee. Following indemnification as provided for hereunder, the Company shall be subrogated to all rights of the Indemnitee with respect to all third parties, firms or corporations relating to the matter for which indemnification has been made. The failure to deliver written notice to the Company within a reasonable time of the commencement of any such action shall not relieve the Company of any liability to the Indemnitee under this Section 9(k), except to the extent that the Company is materially and adversely prejudiced in its ability to defend such action.</w:t>
        <w:br/>
        <w:t xml:space="preserve">  47</w:t>
        <w:br/>
        <w:t xml:space="preserve">    (iii) The indemnification required by this Section 9(k) shall be made by periodic payments of the amounts thereof during the course of the investigation or defense, within ten (10) days after bills are received or Indemnified Liabilities are incurred.</w:t>
        <w:br/>
        <w:t xml:space="preserve">  (iv) The indemnity agreement contained herein shall be in addition to (A) any cause of action or similar right of the Indemnitee against the Company or others, and (B) any liabilities the Company may be subject to pursuant to the law.</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Ordinary Shares and any other numbers in this Agreement that relate to the Ordinary Shares shall be automatically adjusted for any share splits, share dividends, share combinations, recapitalizations or other similar transactions that occur with respect to the Ordinary Shares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be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48</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New York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49</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50</w:t>
        <w:br/>
        <w:t xml:space="preserve">    IN WITNESS WHEREOF, each Buyer and the Company have caused their respective signature page to this Agreement to be duly executed as of the date first written above.</w:t>
        <w:br/>
        <w:t xml:space="preserve">    COMPANY:</w:t>
        <w:br/>
        <w:t xml:space="preserve">        Top KingWin Ltd.</w:t>
        <w:br/>
        <w:t xml:space="preserve">        By:  </w:t>
        <w:br/>
        <w:t xml:space="preserve">    Name:  Xxxxxx Xx</w:t>
        <w:br/>
        <w:t xml:space="preserve">    Title: Chief Executive Officer</w:t>
        <w:br/>
        <w:t xml:space="preserve">    51</w:t>
        <w:br/>
        <w:t xml:space="preserve">    IN WITNESS WHEREOF, each Buyer and the Company have caused their respective signature page to this Agreement to be duly executed as of the date first written above.</w:t>
        <w:br/>
        <w:t xml:space="preserve">    BUYER:</w:t>
        <w:br/>
        <w:t xml:space="preserve">        [NAME]</w:t>
        <w:br/>
        <w:t xml:space="preserve">      By:  </w:t>
        <w:br/>
        <w:t xml:space="preserve">    Name:   </w:t>
        <w:br/>
        <w:t xml:space="preserve">    Title:  </w:t>
        <w:br/>
        <w:t xml:space="preserve">  52</w:t>
        <w:br/>
        <w:t xml:space="preserve">    SCHEDULE OF BUYERS</w:t>
        <w:br/>
        <w:t xml:space="preserve">                  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