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July 10, 2024, is entered into by and between APPTECH PAYMENTS CORP., a Delaware corporation, (the “Company”) and [_______________] (the “Buyer”).</w:t>
        <w:br/>
        <w:t xml:space="preserve">  WITNESSETH:</w:t>
        <w:br/>
        <w:t xml:space="preserve">  WHEREAS, the Company and the Buyer are executing and delivering this Agreement in accordance with and in reliance upon the exemption from securities registration afforded, inter alia, by Rule 506 under Regulation D (“Regulation D”) as promulgated by the United States Securities and Exchange Commission (the “SEC”) under the Securities Act of 1933, as amended (the “1933 Act” or the “Securities Act”), and/or Section 4(a)(2) of the 1933 Act; and</w:t>
        <w:br/>
        <w:t xml:space="preserve">  WHEREAS, the Buyer wishes to purchase from the Company, and the Company wishes to sell the Buyer, upon the terms and subject to the conditions of this Agreement, securities consisting of the Company’s convertible debenture (the “Debenture”), in the form of Exhibit A hereto, which will be convertible into shares of the Company’s common stock, par value $0.001 per share (the “Common Stock”), in the aggregate principal amount of One Million One Hundred Thousand and 00/100 Dollars ($1,100,000.00), for an aggregate Purchase Price of One Million and 00/100 Dollars ($1,000,000.00), as well as issue the Warrant (as defined in this Agreement) to Investments (as defined in this Agreement), all upon the terms and subject to the conditions of this Agreement, the Debenture, Warrant, and other related documents;</w:t>
        <w:br/>
        <w:t xml:space="preserve">  NOW THEREFORE, in consideration of the premises and the mutual covenants contained herein and other good and valuable consideration, the receipt and sufficiency of which are hereby acknowledged, the parties agree as follows:</w:t>
        <w:br/>
        <w:t xml:space="preserve">  1.</w:t>
        <w:br/>
        <w:t>DEFINITIONS; AGREEMENT TO PURCHASE.</w:t>
        <w:br/>
        <w:t xml:space="preserve">  a.</w:t>
        <w:br/>
        <w:t>Certain Definitions. As used herein, each of the following terms has the meaning set forth below, unless the context otherwise requires:</w:t>
        <w:br/>
        <w:t xml:space="preserve">  (i)</w:t>
        <w:br/>
        <w:t>“Affiliate” means, with respect to a specific Person referred to in the relevant provision, another Person who or which controls or is controlled by or is under common control with such specified Person.</w:t>
        <w:br/>
        <w:t xml:space="preserve">  (ii)</w:t>
        <w:br/>
        <w:t>“Certificates” means certificates representing the Shares issuable hereunder, each duly executed on behalf of the Company and issued hereunder.</w:t>
        <w:br/>
        <w:t xml:space="preserve">  (iii)</w:t>
        <w:br/>
        <w:t>“Closing Date” means the date on which the Closing is held.</w:t>
        <w:br/>
        <w:t xml:space="preserve">  (iv)</w:t>
        <w:br/>
        <w:t>“Commitment Fee” shall have the meaning ascribed to such term in Section 12(a).</w:t>
        <w:br/>
        <w:t xml:space="preserve">  (v)</w:t>
        <w:br/>
        <w:t>“Common Stock” shall have the meaning ascribed to such term in the Recitals.</w:t>
        <w:br/>
        <w:t xml:space="preserve">  (vi)</w:t>
        <w:br/>
        <w:t>“Conversion Amount” shall mean the Conversion Amount as defined in the Debenture, provided, however that for purposes of the foregoing calculation, the full indebtedness under the Debenture shall be deemed immediately convertible, notwithstanding the 4.99% limitation on ownership set forth in the Debenture.</w:t>
        <w:br/>
        <w:t xml:space="preserve">        1  </w:t>
        <w:br/>
        <w:t xml:space="preserve">    (vii)</w:t>
        <w:br/>
        <w:t>“Conversion Price” means the Conversion Price as defined in the Debenture.</w:t>
        <w:br/>
        <w:t xml:space="preserve">  (viii)</w:t>
        <w:br/>
        <w:t>“Conversion Shares” means the shares of Common Stock issuable upon conversion of the Debenture.</w:t>
        <w:br/>
        <w:t xml:space="preserve">  (ix)</w:t>
        <w:br/>
        <w:t>“DWAC Operational” means that the Common Stock is eligible for clearing through the Depository Trust Company (“DTC”) via the DTC’s Deposit Withdrawal Agent Commission or “DWAC” system and active and in good standing for DWAC issuance by the Transfer Agent (as defined herein).</w:t>
        <w:br/>
        <w:t xml:space="preserve">  (x)</w:t>
        <w:br/>
        <w:t>“Dollars” or “$” means United States Dollars.</w:t>
        <w:br/>
        <w:t xml:space="preserve">    (xi)</w:t>
        <w:br/>
        <w:t>“Exchange Act” means the Securities Exchange Act of 1934, as amended.</w:t>
        <w:br/>
        <w:t xml:space="preserve">  (xii)</w:t>
        <w:br/>
        <w:t>“Investments” means [_______________], the general partner of the Buyer.</w:t>
        <w:br/>
        <w:t xml:space="preserve">  (xiii)</w:t>
        <w:br/>
        <w:t>“Irrevocable Resolutions” has the meaning set forth in Section 8(i).</w:t>
        <w:br/>
        <w:t xml:space="preserve">  (xiv)</w:t>
        <w:br/>
        <w:t>“Market Price of the Common Stock” means (x) the closing bid price of the Common Stock for the period indicated in the relevant provision hereof (unless a different relevant period is specified in the relevant provision), as reported by Bloomberg, LP or, if not so reported, as reported on the OTCQB, OTCQX or OTC Pink or (y) if the Common Stock is listed on a stock exchange, the closing price on such exchange, as reported by Bloomberg LP.</w:t>
        <w:br/>
        <w:t xml:space="preserve">  (xv)</w:t>
        <w:br/>
        <w:t>“Material Adverse Effect” means a material adverse effect on the business, operations or condition (financial or otherwise) or results of operation of the Company and its Subsidiaries taken as a whole, in the reasonable commercial discretion of the Buyer, irrespective of any finding of fault, magnitude of liability (or lack of financial liability). Without limiting the generality of the foregoing, the occurrence of any of the following, in the reasonable commercial discretion of the Buyer, shall be considered a Material Adverse Effect: (i) any final money, judgment, writ or warrant of attachment, or similar process (including an arbitral determination) in excess of Two Hundred Thousand Dollars ($200,000) shall be entered or filed against the Company or any of its Subsidiaries (including, in any event, products liability claims against the Company or its Subsidiaries), (ii) the suspension or withdrawal of any governmental authority or permit pertaining to a material amount of the Company’s or any Subsidiary’s products or services, (iii) the loss of any material insurance coverage (including, in any case, comprehensive general liability coverage, products liability coverage or directors and officers coverage, in each case in effect at the time of execution and delivery of this Agreement), (iv) an action by a regulatory agency or governmental body affecting the Common Stock (including, without limitation, (1) the commencement of any regulatory investigation of which the Company is aware, the suspension of trading of the Common Stock by the Financial Industry Regulation Authority (“FINRA”), the SEC, or the Principal Market (as defined in this Agreement), the failure of the Common Stock to be DTC eligible or the placing of the Common Stock on the DTC “chill list” or (2) the engaging in any market manipulation or other unlawful or improper trading or other activity by any Affiliate), (v) the Company’s independent registered accountants shall resign under circumstances where a disagreement exists between the Company and its independent registered accountants, (vi) the Company shall fail to timely file any disclosure document as required by applicable federal or state securities laws and regulations or by the rules and regulations of any exchange, trading market or quotation system to which the Company or the Common Stock is subject, or (vii) the Chief Executive Officer of the Company or any other key full-time officer or director of the Company, shall, for any reason (including, without limitation, termination, resignation, retirement, death or disability) cease to act on behalf of the Company in the same role and to the same extent as his or her involvement as of the date of execution and delivery of this Agreement.</w:t>
        <w:br/>
        <w:t xml:space="preserve">  (xvi)</w:t>
        <w:br/>
        <w:t>“Person” means any living person or any entity, such as, but not necessarily limited to, a corporation, partnership or trust.</w:t>
        <w:br/>
        <w:t xml:space="preserve">  (xvii)</w:t>
        <w:br/>
        <w:t>“Placement Agent” means [_______________].</w:t>
        <w:br/>
        <w:t xml:space="preserve">  (xviii)    “Purchase Price” shall be One Million and 00/100 Dollars ($1,000,000.00).</w:t>
        <w:br/>
        <w:t xml:space="preserve">        2  </w:t>
        <w:br/>
        <w:t xml:space="preserve">    (xix)</w:t>
        <w:br/>
        <w:t>“Registrable Securities” shall mean the Conversion Shares, Warrant Shares, Commitment Shares (as defined in this Agreement), and, to the extent applicable, and any other shares of capital stock or other securities of the Company or any successor to the Company that are issued upon exchange of Conversion Shares, Warrant Shares, and/or such Commitment Shares.</w:t>
        <w:br/>
        <w:t xml:space="preserve">  (xx)</w:t>
        <w:br/>
        <w:t>“Registration Statement” shall mean any registration statement filed or contemplated to be filed by the Company with the SEC under the Securities Act.</w:t>
        <w:br/>
        <w:t xml:space="preserve">  (xxi)</w:t>
        <w:br/>
        <w:t>“Restricted Stock” shall mean shares of Common Stock which are not freely trading shares when issued.</w:t>
        <w:br/>
        <w:t xml:space="preserve">  (xxii)</w:t>
        <w:br/>
        <w:t>“Securities” means the Debenture, Warrant, and the Shares.</w:t>
        <w:br/>
        <w:t xml:space="preserve">  (xxiii)    “Shares” means the Conversion Shares and Warrant Shares.</w:t>
        <w:br/>
        <w:t xml:space="preserve">  (xxiv)     “Subsidiary” shall have the meaning ascribed to such term in Section 3(b).</w:t>
        <w:br/>
        <w:t xml:space="preserve">  (xxv)</w:t>
        <w:br/>
        <w:t>“Transaction Documents” means, collectively, this Agreement, the Registration Rights Agreement, the Debenture, Warrant, the Transfer Agent Instruction Letter, the Irrevocable Resolutions and the other agreements, documents and instruments entered into in connection therewith.</w:t>
        <w:br/>
        <w:t xml:space="preserve">  (xxvi)     “Transfer Agent” shall have the meaning ascribed to such term in Section 4(a).</w:t>
        <w:br/>
        <w:t xml:space="preserve">  (xxvii)  “Transfer Agent Instruction Letter” shall have the meaning ascribed to such term in Section 5(a).</w:t>
        <w:br/>
        <w:t xml:space="preserve">  (xxviii)</w:t>
        <w:br/>
        <w:t>“Warrant” shall mean that certain common stock purchase warrant to purchase 750,000 shares of the Company’s Common Stock pursuant to the terms therein.</w:t>
        <w:br/>
        <w:t xml:space="preserve">  (xxix)     “Warrant Shares” means the shares of Common Stock issuable upon exercise of the Warrant.</w:t>
        <w:br/>
        <w:t xml:space="preserve">  b.</w:t>
        <w:br/>
        <w:t>Purchase and Sale of Debenture.</w:t>
        <w:br/>
        <w:t xml:space="preserve">  (i)</w:t>
        <w:br/>
        <w:t>The Buyer agrees to purchase from the Company, and the Company agrees to sell to the Buyer, the Debenture on the terms and conditions set forth below in this Agreement and the other Transaction Documents.</w:t>
        <w:br/>
        <w:t xml:space="preserve">  (ii)</w:t>
        <w:br/>
        <w:t>Subject to the terms and conditions of this Agreement and the other Transaction Documents, the Buyer will purchase the Debenture at closing (the “Closing”) to be held on the Closing Date.</w:t>
        <w:br/>
        <w:t xml:space="preserve">        3  </w:t>
        <w:br/>
        <w:t xml:space="preserve">    2.</w:t>
        <w:br/>
        <w:t>BUYER’S REPRESENTATIONS, WARRANTIES, ETC.</w:t>
        <w:br/>
        <w:t xml:space="preserve">  The Buyer represents and warrants to, and covenants and agrees with, the Company as follows:</w:t>
        <w:br/>
        <w:t xml:space="preserve">  a.</w:t>
        <w:br/>
        <w:t>Investment Purpose. Without limiting the Buyer’s right to sell the Shares pursuant to a Registration Statement, Buyer is purchasing the Debenture, and will be acquiring the Shares, for its own account for investment only and not with a view towards the public sale or distribution thereof and not with a view to or for sale in connection with any distribution thereof.</w:t>
        <w:br/>
        <w:t xml:space="preserve">  b.</w:t>
        <w:br/>
        <w:t>Accredited Investor Status. Buyer is (i) an “accredited investor” as that term is defined in Rule 501 of the General Rules and Regulations under the 1933 Act by reason of Rule 501(a)(3), (ii) experienced in making investments of the kind described in this Agreement and the related documents, (iii) able, by reason of the business and financial experience of its officers (if an entity) and professional advisors (who are not affiliated with or compensated in any way by the Company or any of its affiliates or selling agents), to protect its own interests in connection with the transactions described in this Agreement, and the related documents, and (iv) able to afford the entire loss of its investment in the Securities.</w:t>
        <w:br/>
        <w:t xml:space="preserve">  c.</w:t>
        <w:br/>
        <w:t>Subsequent Offers and Sales. All subsequent offers and sales of the Securities by the Buyer shall be made pursuant to registration of the Shares under the 1933 Act or pursuant to an exemption from registration and compliance with applicable states’ securities laws.</w:t>
        <w:br/>
        <w:t xml:space="preserve">  d.</w:t>
        <w:br/>
        <w:t>Reliance on Exemptions. Buyer understands that the Securities are being offered and sold to it in reliance 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e.</w:t>
        <w:br/>
        <w:t>Information. Buyer and its advisors have been furnished with all materials relating to the business, finances and operations of the Company and materials relating to the offer and sale of the Securities which have been requested by the Buyer. Buyer and its advisors have been afforded the opportunity to ask questions of the Company and have received complete and satisfactory answers to any such inquiries. Without limiting the generality of the foregoing, Xxxxx has also had the opportunity to obtain and to review the Company’s Annual Report on Form 10-K for the fiscal year ended December 31, 2023, and Quarterly Report on Form 10-Q for the fiscal quarter ended March 31, 2024 (collectively, the “SEC Documents”).</w:t>
        <w:br/>
        <w:t xml:space="preserve">  f.</w:t>
        <w:br/>
        <w:t>Investment Risk. Buyer understands that its investment in the Securities involves a high degree of risk, including the risk of loss of the Buyer’s entire investment.</w:t>
        <w:br/>
        <w:t xml:space="preserve">  g.</w:t>
        <w:br/>
        <w:t>Governmental Review. Buyer understands that no United States federal or state agency or any other government or governmental agency has passed on or made any recommendation or endorsement of the Securities.</w:t>
        <w:br/>
        <w:t xml:space="preserve">  h.</w:t>
        <w:br/>
        <w:t>Organization; Authorization. Buyer is duly organized, validly existing and in good standing under the laws of the jurisdiction of its organization. This Agreement and the other Transaction Documents have been duly and validly authorized, executed and delivered on behalf of the Buyer and create a valid and binding agreement of the Buyer enforceable in accordance with its terms, subject as to enforceability to general principles of equity and to bankruptcy, insolvency, moratorium and other similar laws affecting the enforcement of creditors’ rights generally.</w:t>
        <w:br/>
        <w:t xml:space="preserve">        4  </w:t>
        <w:br/>
        <w:t xml:space="preserve">    3.</w:t>
        <w:br/>
        <w:t>COMPANY REPRESENTATIONS AND WARRANTIES, ETC.</w:t>
        <w:br/>
        <w:t xml:space="preserve">  The Company represents and warrants to the Buyer that:</w:t>
        <w:br/>
        <w:t xml:space="preserve">  a.</w:t>
        <w:br/>
        <w:t>Concerning the Debenture and the Shares. There are no preemptive rights of any stockholder of the Company to acquire the Debenture or the Shares.</w:t>
        <w:br/>
        <w:t xml:space="preserve">  b.</w:t>
        <w:br/>
        <w:t>Organization; Subsidiaries; Reporting Company Status. Attached hereto as Schedule 3(b) is an organizational chart describing all of the Company’s wholly-owned and majority-owned subsidiaries (the “Subsidiaries”) and other Affiliates, including the relationships among the Company and such Subsidiaries, including as to each Subsidiary its jurisdiction of organization and the percentage of ownership held by the Company, and the parent company of the Subsidiary, including the percentage of ownership of the Company held by it. The Company and each Subsidiary is a corporation or other form of businesses entity duly organized, validly existing and in good standing under the laws of its respective jurisdiction of organization, and each of them has the requisite corporate or other power to own its properties and to carry on its business as now being conducted. The Company and each Subsidiary is duly qualified as a foreign corporation or other entity to do business and is in good standing in each jurisdiction where the nature of the business conducted or property owned by it makes such qualification necessary, other than those jurisdictions in which the failure to so qualify would not have a Material Adverse Effect. The Common Stock is listed and traded on the Nasdaq Capital Markets (trading symbol: APCX). The Company has received no notice, either oral or written, from FINRA, the SEC, or any other organization, with respect to the continued eligibility of the Common Stock for such listing, and the Company has maintained all requirements for the continuation of such listing. The Company is an operating company in that, among other things (A) it primarily engages, wholly or substantially, directly or indirectly through a majority owned Subsidiary or Subsidiaries, in the production or sale, or the research or development, of a product or service other than the investment of capital, (B) it is not an individual or sole proprietorship, (C) it is not an entity with no specific business plan or purpose and its business plan is not to engage in a merger or acquisition with an unidentified company or companies or other entity or person, and (D) it intends to use the proceeds from the sale of the Debenture solely for the operation of the Company’s business and uses other than personal, family, or household purposes.</w:t>
        <w:br/>
        <w:t xml:space="preserve">  c.</w:t>
        <w:br/>
        <w:t>Authorized Shares. Schedule 3(c) sets forth all capital stock and derivative securities of the Company that are authorized for issuance and that are issued and outstanding. All issued and outstanding shares of Common Stock have been duly authorized and validly issued and are fully paid and nonassessable. The Company has sufficient authorized and unissued shares of Common Stock as may be necessary to effect the issuance of the Shares, assuming the prior issuance and exercise, exchange or conversion, as the case may be, of all derivative securities authorized, as indicated in Schedule 3(c). The Shares have been duly authorized and, when issued upon conversion of, or as interest on, the Debenture, the Shares will be duly and validly issued, fully paid and non-assessable and will not subject the holder thereof to personal liability by reason of being such holder. At all times, the Company shall keep available and reserved for issuance to the holders of the Debenture shares of Common Stock duly authorized for issuance against the Debenture. As of the effective date of this Agreement, other than as reflected in the SEC Documents (as defined in this Agreement) of the Company or as indicated on Schedule 3(c) of this Agreement,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the Securities.</w:t>
        <w:br/>
        <w:t xml:space="preserve">  d.</w:t>
        <w:br/>
        <w:t>Authorization. This Agreement, the issuance of the Debenture (including without limitation the incurrence of indebtedness thereunder), the issuance of the Conversion Shares under the Debenture and Warrant Shares under the Warrant, and the other transactions contemplated by the Transaction Documents, have been duly, validly and irrevocably authorized by the Company, and this Agreement has been duly executed and delivered by the Company. The Company’s board of directors, in the exercise of its fiduciary duties, has irrevocably approved the entry into and performance of the Transaction Documents, including, without limitation the issuance of the Securities, based upon a reasonable inquiry concerning the Company’s financing objectives and financial situation. Each of the Transaction Documents, when executed and delivered by the Company, are and will be, valid, legal and binding agreements of the Company, enforceable in accordance with their respective terms, subject as to enforceability to general principles of equity and to bankruptcy, insolvency, moratorium, and other similar laws affecting the enforcement of creditors’ rights generally.</w:t>
        <w:br/>
        <w:t xml:space="preserve">        5  </w:t>
        <w:br/>
        <w:t xml:space="preserve">    e.</w:t>
        <w:br/>
        <w:t>Non-contravention. The execution and delivery of the Transaction Documents, the issuance of the Securities and the consummation by the Company of the other transactions contemplated by this Agreement and the Debenture (including without limitation the incurrence of indebtedness thereunder) do not and will not conflict with or result in a breach by the Company of any of the terms or provisions of, or constitute a default under (i) the articles of incorporation or by-laws of the Company, each as currently in effect, (ii) any indenture, mortgage, deed of trust, or other material agreement or instrument to which the Company is a party or by which it or any of its properties or assets are bound, including any listing agreement for the Common Stock, except as herein set forth or an event which results in the creation of any lien, charge or encumbrance upon any assets of the Company or the triggering of any anti-dilution rights, rights of first refusal or first offer on the part of holders of the Company’s securities, (iii) to its knowledge, any existing applicable law, rule, or regulation or any applicable decree, judgment, or order of any court, United States federal or state regulatory body, administrative agency, or other governmental body having jurisdiction over the Company or any of its properties or assets, or (iv) the Company’s listing agreement for its Common Stock (if applicable).</w:t>
        <w:br/>
        <w:t xml:space="preserve">  f.</w:t>
        <w:br/>
        <w:t>Approvals. No authorization, approval or consent of any court, governmental body, regulatory agency, self-regulatory organization, or stock exchange or market or the stockholders of the Company is required to be obtained by the Company for the entering into and performing this Agreement and the other Transaction Documents (including without limitation the issuance and sale of the Securities to the Buyer as contemplated by this Agreement) except such authorizations, approvals and consents that have been obtained, or such authorizations, approvals and consents, the failure of which to obtain would not have a Material Adverse Effect.</w:t>
        <w:br/>
        <w:t xml:space="preserve">  g.</w:t>
        <w:br/>
        <w:t>SEC Documents; Rule 144 Status. None of the SEC Documents contained, at the time they were filed, any untrue statement of a material fact or omitted to state any material fact required to be stated therein or necessary to make the statements made therein in light of the circumstances under which they were made, not misleading. The Company has filed all reports, schedules, forms, statements and other documents required to be filed by it with the SEC pursuant to the reporting requirements of the Securities Exchange Act of 1934, as amended (all of the foregoing filed prior to the date hereof and all exhibits included therein and financial statements and schedules thereto and documents (other than exhibits to such documents) incorporated by reference therein, being hereinafter referred to herein as the “SEC Documents”). The Company is not aware of any event occurring on or prior to the execution and delivery of this Agreement that would require the filing of, or with respect to which the Company intends to file, a Form 8-K after such time. The Company satisfies the requirements of Rule 144(i)(2), and the Company shall continue to satisfy all applicable requirements of Rule 144 (or any successor thereto) for so long as any Securities are outstanding and not registered pursuant to an effective Registration Statement filed with the SEC.</w:t>
        <w:br/>
        <w:t xml:space="preserve">  h.</w:t>
        <w:br/>
        <w:t>Absence of Certain Changes. Since March 31, 2024, when viewed from the perspective of the Company and its Subsidiaries taken as a whole, there has been no material adverse change and no material adverse development in the business, properties, operations, condition (financial or otherwise), or results of operations of the Company and its Subsidiaries (including, without limitation, a change or development which constitutes, or with the passage of time is reasonably likely to become, a Material Adverse Effect), except as disclosed in the SEC Documents. Since March 31, 2024, except as provided in the SEC Documents, the Company has not (i) incurred or become subject to any material liabilities (absolute or contingent) except liabilities incurred in the ordinary course of business consistent with past practices; (ii) discharged or satisfied any material lien or encumbrance or paid any material obligation or liability (absolute or contingent), other than current liabilities paid in the ordinary course of business consistent with past practices; (iii) declared or made any payment or distribution of cash or other property to stockholders with respect to its capital stock, or purchased or redeemed, or made any agreements to purchase or redeem, any shares of its capital stock; (iv) sold, assigned or transferred any other tangible assets, or canceled any debts or claims, except in the ordinary course of business consistent with past practices; (v) suffered any substantial losses or waived any rights of material value, whether or not in the ordinary course of business, or suffered the loss of any material amount of existing business; (vi) made any changes in employee compensation, except in the ordinary course of business consistent with past practices; or (vii) experienced any material problems with labor or management in connection with the terms and conditions of their employment.</w:t>
        <w:br/>
        <w:t xml:space="preserve">  i.</w:t>
        <w:br/>
        <w:t>Full Disclosure. There is no fact known to the Company (other than general economic conditions known to the public generally or as disclosed in the SEC Documents) that has not been disclosed in writing to the Buyer that (i) would reasonably be expected to have a Material Adverse Effect, (ii) would reasonably be expected to materially and adversely affect the ability of the Company to perform its obligations pursuant to the Transaction Documents, or (iii) would reasonably be expected to materially and adversely affect the value of the rights granted to the Buyer in the Transaction Documents.</w:t>
        <w:br/>
        <w:t xml:space="preserve">        6  </w:t>
        <w:br/>
        <w:t xml:space="preserve">    j.</w:t>
        <w:br/>
        <w:t>Absence of Litigation. Except as described in the SEC Documents, there is no action, suit, proceeding, inquiry or investigation before or by any court, public board or body pending or, to the knowledge of the Company, threatened against or affecting the Company, wherein an unfavorable decision, ruling or finding would have a Material Adverse Effect or which would adversely affect the validity or enforceability of, or the authority or ability of the Company to perform its obligations under, any of the Transaction Documents. The Company is not a party to or subject to the provisions of, any order, writ, injunction, judgment or decree of any court or government agency or instrumentality which could reasonably be expected to have a Material Adverse Effect.</w:t>
        <w:br/>
        <w:t xml:space="preserve">  k.</w:t>
        <w:br/>
        <w:t>Absence of Liens. The Company’s assets are not encumbered by any liens or mortgages except as described in the SEC Documents.</w:t>
        <w:br/>
        <w:t xml:space="preserve">  l.</w:t>
        <w:br/>
        <w:t>Absence of Events of Default. No event of default (or its equivalent term), as defined in the respective agreement, indenture, mortgage, deed of trust or other instrument, to which the Company is a party, and no event which, with the giving of notice or the passage of time or both, would become an event of default (or its equivalent term) (as so defined in such document), has occurred and is continuing, which would have a Material Adverse Effect.</w:t>
        <w:br/>
        <w:t xml:space="preserve">  m.    No Undisclosed Liabilities or Events. The Company has no liabilities or obligations other than those disclosed in the SEC Documents or those incurred in the ordinary course of the Company’s business since March 31, 2024, and which individually or in the aggregate, do not or would not have a Material Adverse Effect. No event or circumstances has occurred or exists with respect to the Company or its properties, business, condition (financial or otherwise), or results of operations, which, under applicable law, rule or regulation, requires public disclosure or announcement prior to the date hereof by the Company but which has not been so publicly announced or disclosed. There are no proposals currently under consideration or currently anticipated to be under consideration by the Board of Directors or the executive officers of the Company which proposal would (x) change the articles of incorporation, by-laws or any other charter document of the Company, each as currently in effect, with or without shareholder approval, which change would reduce or otherwise adversely affect the rights and powers of the shareholders of the Common Stock or (y) materially or substantially change the business, assets or capital of the Company.</w:t>
        <w:br/>
        <w:t xml:space="preserve">  n.</w:t>
        <w:br/>
        <w:t>No Integrated Offering. Neither the Company nor any of its affiliates nor any Person acting on its or their behalf has, directly or indirectly, at any time during the six month period immediately prior to the date of this Agreement made any offer or sales of any security or solicited any offers to buy any security under circumstances that would eliminate the availability of the exemption from registration under Rule 506 of Regulation D in connection with the offer and sale of the Securities as contemplated hereby. Neither the Company nor any of its affiliates nor any Person acting on its or their behalf has, has directly or indirectly made any offers or sales in any security or solicited any offers to buy any security under circumstances that would require registration under the Securities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br/>
        <w:t xml:space="preserve">  o.</w:t>
        <w:br/>
        <w:t>Dilution. The number of Shares issuable upon conversion of the Debenture may increase substantially in certain circumstances, including, but not necessarily limited to, the circumstance wherein the Market Price of the Common Stock declines prior to the conversion of the Debenture. The Company’s executive officers and directors have studied and fully understand the nature of the securities being sold hereby and recognize that they have a potential dilutive effect and further that the conversion of the Debenture, exercise of the Warrant, and/or sale of the Conversion Shares and/or Warrant Shares may have an adverse effect on the Market Price of the Common Stock. The Board of Directors of the Company has concluded, in its good faith business judgment that such issuance is in the best interests of the Company. The Company specifically acknowledges that its obligation to issue the Conversion Shares upon conversion of the Debenture and Warrant Shares upon exercise of the Warrant is binding upon the Company and enforceable regardless of the dilution such issuance may have on the ownership percentages of other shareholders of the Company.</w:t>
        <w:br/>
        <w:t xml:space="preserve">        7  </w:t>
        <w:br/>
        <w:t xml:space="preserve">    p.</w:t>
        <w:br/>
        <w:t>Regulatory Permits. The Company has all such permits, easements, consents, licenses, franchises and other governmental and regulatory authorizations from all appropriate federal, state, local or other public authorities (“Permits”) as are necessary to own and lease its properties and conduct its businesses in all material respects in the manner described in the SEC Documents and as currently being conducted. All such Permits are in full force and effect and the Company has fulfilled and performed all of its material obligations with respect to such Permits, and no event has occurred that allows, or after notice or lapse of time would allow, revocation or termination thereof or will result in any other material impairment of the rights of the holder of any such Permit, subject in each case to such qualification as may be disclosed in the SEC Documents. Such Permits contain no restrictions that would materially impair the ability of the Company to conduct businesses in the manner consistent with its past practices. The Company has not received notice or otherwise has knowledge of any proceeding or action relating to the revocation or modification of any such Permit.</w:t>
        <w:br/>
        <w:t xml:space="preserve">  q.</w:t>
        <w:br/>
        <w:t>Residency. The state in which any offer to sell Securities hereunder was made or accepted by the Seller is the state shown as the Seller’s address contained herein, and Seller is a resident of such state only.</w:t>
        <w:br/>
        <w:t xml:space="preserve">  r.</w:t>
        <w:br/>
        <w:t>Hazardous Materials. The Company is in compliance with all applicable Environmental Laws in all respects except where the failure to comply does not have and could not reasonably be expected to have a Material Adverse Effect. For purposes of the foregoing:</w:t>
        <w:br/>
        <w:t xml:space="preserve">  “Environmental Laws” means, collectively, the Comprehensive Environmental Response, Compensation and Liability Act of 1980, as amended, the Superfund Amendments and Reauthorization Act of 1986, the Resource Conservation and Recovery Act, the Toxic Substances Control Act, as amended, the Clean Air Act, as amended, the Clean Water Act, as amended, any other “Superfund” or “Superlien” law or any other applicable federal, state or local statute, law, ordinance, code, rule, regulation, order or decree regulating, relating to, or imposing liability or standards of conduct concerning, the environment or any Hazardous Material.</w:t>
        <w:br/>
        <w:t xml:space="preserve">  “Hazardous Material” means and includes any hazardous, toxic or dangerous waste, substance or material, the generation, handling, storage, disposal, treatment or emission of which is subject to any Environmental Law.</w:t>
        <w:br/>
        <w:t xml:space="preserve">  s.</w:t>
        <w:br/>
        <w:t>Independent Public Accountants. The Company’s auditor is an independent registered public accounting firm with respect to the Company, as required by the 1933 Act, the Exchange Act and the rules and regulations promulgated thereunder.</w:t>
        <w:br/>
        <w:t xml:space="preserve">  t.</w:t>
        <w:br/>
        <w:t>Internal Accounting Controls. The Company maintains a system of internal accounting controls sufficient to provide reasonable assurances that (1) transactions are executed in accordance with management’s general or specific authorization; (2) transactions are recorded as necessary to permit preparation of financial statements in conformity with generally accepted accounting principles and to maintain accountability for assets; (3) access to assets is permitted only in accordance with management’s general or specific authorization; and (4) the recorded accountability for assets is compared with existing assets at reasonable intervals and appropriate action is taken with respect to any differences.</w:t>
        <w:br/>
        <w:t xml:space="preserve">  u.</w:t>
        <w:br/>
        <w:t>Brokers; No Solicitation. Except with respect to the Placement Agent, no Person (other than the Buyer and its principals, employees and agents) is entitled to receive any consideration from the Company or the Buyer arising from any finder’s agreement, brokerage agreement or other agreement to which the Company is a party. The Company represents and warrants that neither the Buyer nor its employee(s), member(s), beneficial owner(s), or partner(s) solicited the Company to enter into this Agreement and consummate the transactions described in this Agreement. The Company represents and warrants that the Investor is not required to be registered as a broker-dealer under the Securities Exchange Act of 1934 in order to (i) consummate the transactions encompassed by the Transaction Documents or (ii) fulfill the Investor’s obligations under the Transaction Documents.</w:t>
        <w:br/>
        <w:t xml:space="preserve">        8  </w:t>
        <w:br/>
        <w:t xml:space="preserve">    v.</w:t>
        <w:br/>
        <w:t>DWAC Operational; DRS. The Company is currently and shall remain DWAC Operational and eligible for DRS.</w:t>
        <w:br/>
        <w:t xml:space="preserve">  w.</w:t>
        <w:br/>
        <w:t>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other than, in the case of clauses (ii) and (iii), compensation paid to the Placement Agent in connection with the placement of the Securities.</w:t>
        <w:br/>
        <w:t xml:space="preserve">  x.</w:t>
        <w:br/>
        <w:t>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 a copy of any disclosures provided thereunder.</w:t>
        <w:br/>
        <w:t xml:space="preserve">  y.</w:t>
        <w:br/>
        <w:t>Other Covered Persons. Other than the Placement Agent, the Company is not aware of any person (other than any Issuer Covered Person) that has been or will be paid (directly or indirectly) remuneration for solicitation of purchasers in connection with the sale of any Securities.</w:t>
        <w:br/>
        <w:t xml:space="preserve">  z.</w:t>
        <w:br/>
        <w:t>Notice of Disqualification Events. The Company will notify the Buyer and the Placement Agent in writing, prior to the Closing Date of (i) any Disqualification Event relating to any Issuer Covered Person and (ii) any event that would, with the passage of time, become a Disqualification Event relating to any Issuer Covered Person.</w:t>
        <w:br/>
        <w:t xml:space="preserve">  aa.</w:t>
        <w:br/>
        <w:t>No General Solicitation. Neither the Company nor any Person acting on behalf of the Company has offered or sold any of the Securities by any form of general solicitation or general advertising. The Company has offered the Securities for sale only to the Buyers and certain other “accredited investors” within the meaning of Rule 501 under the Securities Act.</w:t>
        <w:br/>
        <w:t xml:space="preserve">  bb.</w:t>
        <w:br/>
        <w:t>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cc.</w:t>
        <w:br/>
        <w:t>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the Foreign Corrupt Practices Act of 1977, as amended.</w:t>
        <w:br/>
        <w:t xml:space="preserve">  dd.</w:t>
        <w:br/>
        <w:t>Office of Foreign Assets Control. Neither the Company nor any Subsidiary nor, to the Company's knowledge, any director, officer, agent, employee or affiliate of the Company or any Subsidiary is currently subject to any U.S. sanctions administered by the Office of Foreign Assets Control of the U.S. Treasury Department.</w:t>
        <w:br/>
        <w:t xml:space="preserve">        9  </w:t>
        <w:br/>
        <w:t xml:space="preserve">    4.</w:t>
        <w:br/>
        <w:t>CERTAIN COVENANTS AND ACKNOWLEDGMENTS.</w:t>
        <w:br/>
        <w:t xml:space="preserve">  a.</w:t>
        <w:br/>
        <w:t>Transfer Restrictions. The parties acknowledge and agree that (1) the Debenture have not been registered under the provisions of the 1933 Act and the Shares have not been registered under the 1933 Act, and may not be transferred unless (A) subsequently registered thereunder or (B) the Securities to be sold or transferred may be sold or transferred pursuant to an exemption from such registration; (2) any sale of the Securities made in reliance on Rule 144 promulgated under the 1933 Act (“Rule 144”) may be made only in accordance with the terms of Rule 144 and further, if Rule 144 is not applicable, any resale of such Securities under circumstances in which the seller, or the Person through whom the sale is made, may be deemed to be an underwriter, as that term is used in the 1933 Act, may require compliance with some other exemption under the 1933 Act or the rules and regulations of the SEC thereunder, (3) at the request of the Buyer, the Company shall, from time to time, within two (2) business days of such request, at the sole cost and expense of the Company, either (i) deliver to its transfer agent and registrar for the Common Stock (the “Transfer Agent”) a written letter instructing and authorizing the Transfer Agent to process transfers of the Shares at such time as the Buyer has held the Securities for the minimum holding period permitted under Rule 144 or the applicable exemption, subject to the Buyer’s providing to the Transfer Agent certain customary representations contemporaneously with any requested transfer, or (ii) at the Buyer’s option or if the Transfer Agent requires further confirmation of the availability of an exemption from registration, furnish to the Buyer an opinion of the Company’s counsel in favor of the Buyer (and, at the request of the Buyer, any agent of the Buyer, including but not limited to the Buyer’s broker or clearing firm) and the Transfer Agent, reasonably satisfactory in form, scope and substance to the Buyer and the Transfer Agent, to the effect that a contemporaneously requested transfer of shares does not require registration under the 1933 Act, pursuant to the 1933 Act, Rule 144 or other regulations promulgated under the 1933 Act and (4) neither the Company nor any other Person is under any obligation to register the Securities (other than pursuant to this Agreement) under the 1933 Act or to comply with the terms and conditions of any exemption thereunder.</w:t>
        <w:br/>
        <w:t xml:space="preserve">  b.</w:t>
        <w:br/>
        <w:t>Restrictive Legend. The Buyer acknowledges and agrees that the Debenture, and, until such time as the Shares have been registered under the 1933 Act as contemplated hereby and sold in accordance with an effective Registration Statement, certificates and other instruments representing any of the Securities shall bear a restrictive legend in substantially the following form (and a stop-transfer order may be placed against transfer of any such Securities):</w:t>
        <w:br/>
        <w:t xml:space="preserve">  THIS SECURITY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w:t>
        <w:br/>
        <w:t xml:space="preserve">  c.</w:t>
        <w:br/>
        <w:t>Registration Rights; Piggy-Back Registration Rights. On the Closing Date, the Company and Buyer shall enter into that certain registration rights agreement with respect to the registration of the Conversion Shares, Warrant Shares, and Commitment Shares (the “Registration Rights Agreement”). In addition, from and after the Closing Date and until the later of (i) eighteen (18) months after the Closing Date or (ii) the date that the Debenture is extinguished in the entirety, if the Company contemplates making an offering of Common Stock (or other equity securities convertible into or exchangeable for Common Stock) registered for sale under the Securities Act or proposes to file a Registration Statement covering any of its securities, the Company shall at each such time give prompt written notice to Investments and Buyer of its intention to do so and of the registration rights granted under this Agreement. Upon the written request of Investments and/or Buyer made within thirty (30) days after the receipt of any such notice (which request shall specify the Registrable Securities intended to be disposed of by Investments and/or Buyer and the intended method of disposition thereof), the Company shall, at its sole cost and expense, use its best efforts to effect the registration of all Registrable Securities which the Company has been so requested to register by Investments and/or Buyer, to the extent requisite to permit the disposition (in accordance with the intended methods of disposition) of the Registrable Securities by Investments and/or Buyer, by inclusion of such Registrable Securities in the Registration Statement which covers the securities which the Company proposes to register; provided, that if the Company is unable to register the full amount of Registrable Securities in an “at the market offering” under SEC rules and regulations due to the high percentage of the Company’s Common Stock the Registrable Securities represents (giving effect to all other securities being registered in the Registration Statement), then the Company may reduce, on a pro rata basis, the amount of Registrable Securities subject to the Registration Statement to a lesser amount which equals the maximum number of Registrable Securities that the Company is permitted to register in an “at the market offering”; and provided, further, that if, at any time after giving written notice of its intention to register any Registrable Securities and prior to the effective date of the Registration Statement filed in connection with such registration, the Company shall determine for any reason either not to register or to delay registration of such Registrable Securities, the Company may, at its election, give written notice of such determination to Investments and/or the Buyer and, thereupon, (i) in the case of a determination not to register, the Company shall be relieved of its obligation to register any Registrable Securities in connection with such registration (but not from its obligation to pay the expenses of registration in connection therewith), and (ii) in the case of a determination to delay registering such Registrable Securities, shall be permitted to delay registering any Registrable Securities, for the same period as the delay in registering such other securities. If Buyer shall have transferred all or part of its Registrable Securities, then for purposes of this Section, the term “Buyer” shall reference Buyer and/or such transferee(s).</w:t>
        <w:br/>
        <w:t xml:space="preserve">        10  </w:t>
        <w:br/>
        <w:t xml:space="preserve">    d.</w:t>
        <w:br/>
        <w:t>Securities Filings. The Company undertakes and agrees to make all necessary filings (including, without limitation, a Form D) in connection with the sale of the Securities to the Buyer required under any United States laws and regulations applicable to the Company (including without limitation state “blue sky” laws), or by any domestic securities exchange or trading market, and to provide a copy thereof to the Buyer promptly after such filing.</w:t>
        <w:br/>
        <w:t xml:space="preserve">  e.</w:t>
        <w:br/>
        <w:t>Reporting Status; Public Trading Market; DTC Eligibility. So long as the Buyer and/or Investments beneficially own any Securities, (i) the Company shall timely file, prior to or on the date when due, all reports that would be required to be filed with the SEC pursuant to Section 13 or 15(d) of the Exchange Act if the Company had securities registered under Section 12(b) or 12(g) of the Exchange Act; (ii) the Company shall not be operated as, or report, to the SEC or any other Person, that the Company is a “shell company” or indicate to the contrary to the SEC or any other Person; (iii) the Company shall take all other action under its control necessary to ensure the availability of Rule 144 under the 1933 Act for the sale of Shares by the Buyer at the earliest possible date; and (iv) the Company shall at all times while any Securities are outstanding maintain its engagement of an independent registered public accounting firm. Except as otherwise set forth in Transaction Documents, the Company shall take all action under its control necessary to obtain and to continue the listing and trading of its Common Stock (including, without limitation, all Registrable Securities) on the OTC Markets, Inc., OTC Pink, OTCQB, OTCQX, Nasdaq Stock Market, NYSE, or any other exchange (the “Principal Market”) and will comply in all material respects with the Company’s reporting, filing and other obligations under the by-laws or rules of the Financial Industry Regulatory Authority (“FINRA”). If, so long as the Buyer and/or Investments beneficially own any of the Securities, the Company receives any written notice from the Principal Market, FINRA, or the SEC with respect to either any alleged deficiency in the Company’s compliance with applicable rules and regulations (including without limitation any comments from the SEC on any of the Company’s documents filed with respect to the registration of the Securities (or the failure to have made any such filing) under the 1933 Act or the Exchange Act) (each, a “Regulatory Notice”), then the Company shall promptly, and in any event within two (2) business days, provide copies of the Regulatory Notice to the Buyer, and shall promptly, and in any event within five (5) business days of receipt of the Regulatory Notice, other than with respect to comments on any of the Company’s filings with the SEC in which case Company shall have such period of time as may be reasonably necessary (a “Regulatory Response”), respond in writing to the Principal Market, FIRNA and/or SEC (as the case may be), setting forth the Company’s explanation and/or response to the issues raised in the Regulatory Notice, with a view towards maintaining and/or regaining full compliance with the applicable rules and regulations of the Principal Market, FIRNA and/or SEC and maintaining or regaining good standing of the Company with the Principal Market, FINRA and/or SEC, as the case may be, the intent being to ensure that the Company maintain its reporting company status with the SEC and that its Common Stock be and remain available for trading on the Principal Market. Further, at all times while any Securities are outstanding, the Common Stock shall be DWAC Operational, and the Common Stock shall not be subject to any DTC “chill” designation or similar restriction on the clearing of the Common Stock through DTC.</w:t>
        <w:br/>
        <w:t xml:space="preserve">  f.</w:t>
        <w:br/>
        <w:t>Use of Proceeds. The Company shall use the proceeds from the sale of the Debenture for working capital purposes only subject to customary restrictions. Absent the prior written approval of a majority of the principal amount of the Debenture then outstanding, the Company shall not use any portion of the proceeds of the sale of the Debenture to (i) repay any indebtedness or other obligation of the Company incurred prior to the date of this Agreement outside the normal course of business other than indebtedness not to exceed $150,000 incurred in connection with the membership interest purchase agreement entered into by the Company on or around October 13, 2023, for the acquisition of Alliance Partners, LLC, a Nevada limited liability company, (ii) pay any dividends or redemption amount on any of the Company’s equity or equity equivalents, (iii) pay any amounts, whether on account of debt obligations of the Company or otherwise, except for compensation, to any officer, director or other related party of the Company or (iv) pay deferred compensation or any compensation to any of the directors or officers of the Company in excess of the rate or amount paid or accrued during the fiscal year ended December, 2023 (as base compensation and excluding any discretionary amounts), other than modest increases consistent with prior practice that are approved by the Company’s Board of Directors.</w:t>
        <w:br/>
        <w:t xml:space="preserve">        11  </w:t>
        <w:br/>
        <w:t xml:space="preserve">    g.</w:t>
        <w:br/>
        <w:t>Available Shares. Commencing on the date of execution and delivery of this Agreement, the Company shall have and maintain authorized and reserved for issuance, free from preemptive rights, that number of shares equal to Two Hundred percent (200%) of the number of shares of Common Stock (1) issuable based upon the conversion of the then-outstanding Debenture (including accrued interest thereon) as may be required to satisfy the conversion rights of the Buyer pursuant to the terms and conditions of the Debenture (for the avoidance of doubt, this shall be calculated based on the Conversion Price (as defined in the Debenture) (without giving effect to the 4.99% limitation on ownership as set forth in the Debenture) and (2) issuable upon full exercise of the Warrant (without giving effect to the 4.99% limitation on ownership as set forth in the Warrant) (collectively in the aggregate the “Required Reserve Amount”). The Company shall monitor its compliance with the foregoing requirements on an ongoing basis. If at any time the Company does not have available an amount of authorized and non-issued Shares required to be reserved pursuant to this Section, then the Company shall, without notice or demand by the Buyer, call within thirty (30) days of such occurrence and hold within sixty (60) days of such occurrence a special meeting of shareholders, for the sole purpose of increasing the number of shares authorized. Management of the Company shall recommend to shareholders to vote in favor of increasing the number of Common Stock authorized at the meeting. Members of the Company’s management shall also vote all of their own shares in favor of increasing the number of Common Stock authorized at the meeting. If the increase in authorized shares is approved by the stockholders at the meeting, the Company shall implement the increase in authorized shares within one (1) business day following approval at such meeting. Alternatively, to the extent permitted by applicable law, in lieu of calling and holding a meeting as described above, the Company may, within thirty (30) days of the date when the Company does not have available an amount of authorized and non-issued Shares required to be reserved as described above, procure the written consent of stockholders to increase the number of shares authorized, and provide the stockholders with notice thereof as may be required under applicable law (including without limitation Section 14(c) of the Exchange Act and Regulation 14C thereunder). Upon obtaining stockholder approval as aforesaid, the Company shall cause the appropriate increase in its authorized shares of Common Stock within one (1) business day (or as soon thereafter as permitted by applicable law). Company’s failure to comply with these provisions will be an Event of Default (as defined in the Debenture).</w:t>
        <w:br/>
        <w:t xml:space="preserve">  h.</w:t>
        <w:br/>
        <w:t>[Intentionally Omitted].</w:t>
        <w:br/>
        <w:t xml:space="preserve">  i.</w:t>
        <w:br/>
        <w:t>The Company shall provide the Transfer Agent and/or the Buyer, Investments or their respective brokerage and/or clearing firm with all relevant legal opinions and other documentation requested by the Buyer or Investments in connection with the issuance of the Shares or the Restricted Stock, or the sale thereof, to confirm the share issuance(s) such that the Shares and/or Restricted Stock may be deposited with the applicable brokerage and/or clearing firm.</w:t>
        <w:br/>
        <w:t xml:space="preserve">  j.</w:t>
        <w:br/>
        <w:t>No Payments to Affiliates or Related Parties.  So long as any of the Debenture remains outstanding, the Company shall not, absent the prior written consent of the holder of the Debenture, make any payments to any of the Company’s or the Subsidiaries’ respective affiliates or related parties, including without limitation payments or prepayments of principal or interest accrued on any indebtedness or obligation in favor of affiliates or related parties.  Notwithstanding anything to the contrary contained herein, the provisions of this Section 4(j) shall not apply to payments to the Subsidiaries, or other businesses in which affiliates have an interest, made in the ordinary course of business and consistent with past practice as disclosed in the SEC Documents.</w:t>
        <w:br/>
        <w:t xml:space="preserve">  k.</w:t>
        <w:br/>
        <w:t>Notice of Material Adverse Effect. The Company shall notify the Buyer (and any subsequent holder of the Debenture), as soon as practicable and in no event later than three (3) business days of the Company’s knowledge of any Material Adverse Effect on the Company. For purposes of the foregoing, “knowledge” means the earlier of the Company’s actual knowledge or the Company’s constructive knowledge upon due inquiry.</w:t>
        <w:br/>
        <w:t xml:space="preserve">  l.</w:t>
        <w:br/>
        <w:t>Public Disclosure. Except to the extent required by applicable law, absent the Buyer’s prior written consent, the Company shall not reference the name of the Buyer in any press release, securities disclosure, business plan, marketing or funding proposal.</w:t>
        <w:br/>
        <w:t xml:space="preserve">        12  </w:t>
        <w:br/>
        <w:t xml:space="preserve">    m.</w:t>
        <w:br/>
        <w:t>Nature of Transaction; Savings Clause. It is the parties’ express understanding and agreement that the transactions contemplated by the Transaction Documents constitute an investment and not a loan. If nonetheless such transactions are deemed to be a loan (as adjudicated by a court of law having proper jurisdiction and such adjudication is not subject to appeal), the Company shall not be obligated or required to pay interest at a rate that could subject Buyer to either civil or criminal liability as a result of such rate exceeding the maximum rate that the Buyer is permitted to charge under applicable law, and the Company’s obligations under the Transaction Documents shall not be void or voidable on the basis of the Buyer’s lack of any license or registration as a lender with any governmental authority. It is expressly understood and agreed by the parties that neither the amounts payable pursuant to Section 12, any redemption premium, remedy upon an Event of Default (as defined in the Debenture) or any Acceleration Amount (as defined in the Debenture), original issue discount nor any investment returns of the Buyer on the sale of the Debenture, Warrant, or the sale of any Shares (whether unrealized or realized) shall be construed as interest. If, by the terms of the Debenture, any other Transaction Document or any other instrument, Company is at any time required or obligated to pay interest at a rate exceeding such maximum rate, interest payable under the Debenture and/or such other Transaction Documents or other instrument shall be computed (or recomputed) at such maximum rate, and the portion of all prior interest payments (if any) exceeding such maximum shall be applied to payment of the outstanding principal of the Debenture.</w:t>
        <w:br/>
        <w:t xml:space="preserve">  n. No Integration. The Company shall not make any offers or sales of any security (other than the Securities) under circumstances that would require registration of the Securities being offered or sold hereunder under the Securities Act or cause the offering of the Securities to be integrated with any other offering of securities by the Company for the purpose of any stockholder approval provision applicable to the Company or its securities.</w:t>
        <w:br/>
        <w:t xml:space="preserve">  o.</w:t>
        <w:br/>
        <w:t>Corporate Existence. The Company will, so long as the Buyer beneficially owns any of the Securities, maintain its corporate existence and shall not sell all or substantially all of the Company’s assets.</w:t>
        <w:br/>
        <w:t xml:space="preserve">  p.</w:t>
        <w:br/>
        <w:t>Payment Set Aside. To the extent that the (i) Company makes a payment or payments to the Buyer hereunder, pursuant to this Agreement, the Debenture, or any other agreement, certificate, instrument or document contemplated hereby or thereby, or (ii) the Buyer enforces or exercises its rights hereunder, pursuant to this Agreement, the Debenture, or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q.</w:t>
        <w:br/>
        <w:t>Shareholder Approval. “Shareholder Approval” means: the approval of a sufficient amount of holders of the Company’s Common Stock to satisfy the shareholder approval requirements for such action as provided in Nasdaq Rule 5635, to effectuate the transactions contemplated by this Agreement, including but not limited to the issuance of all of the Shares (including the Conversion Shares and Warrant Shares) and Commitment Shares in excess of 19.99% of the issued and outstanding Common Stock on the Closing Date (the “Exchange Cap”, of which at least 4,946,388 shares of Common Stock shall be allocated to the transactions contemplated by this Agreement), subject to appropriate adjustment for any stock dividend, stock split, stock combination, rights offerings, reclassification or similar transaction that proportionately decreases or increases the Common Stock). The Company shall hold a special meeting of shareholders within ninety (90) calendar days after the date of this Agreement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The Company shall use its reasonable best efforts to obtain such Shareholder Approval. If the Company does not obtain Shareholder Approval at the first meeting, the Company shall call a meeting as often as possible thereafter to seek Shareholder Approval until the Shareholder Approval is obtained. Until such approval is obtained, the number of shares of Common Stock issued in the aggregate, pursuant to this Agreement, upon conversion of the Debenture, and exercise of the Warrant shall be limited to the Exchange Cap.</w:t>
        <w:br/>
        <w:t xml:space="preserve">  r.</w:t>
        <w:br/>
        <w:t>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13  </w:t>
        <w:br/>
        <w:t xml:space="preserve">    5.</w:t>
        <w:br/>
        <w:t>TRANSFER AGENT INSTRUCTIONS.</w:t>
        <w:br/>
        <w:t xml:space="preserve">  a.</w:t>
        <w:br/>
        <w:t>Transfer Agent Instruction Letter. On or before the Closing Date, the Company shall irrevocably instruct its Transfer Agent in writing using the letter substantially in the form of Exhibit B annexed hereto, with only such modifications as the Buyer agrees to, executed by the Company, the Buyer and the Transfer Agent (the “Transfer Agent Instruction Letter”), to (i) reserve that number of shares of Common Stock as is required under Section 4(g) hereof, and (ii) issue Common Stock from time to time upon conversion of the Debenture in such amounts as specified from time to time by the Buyer to the Transfer Agent in a Notice of Conversion, in such denominations to be specified by the Buyer in connection with each conversion of the Debenture. The Transfer Agent shall not be restricted from issuing shares from only the allotment reserved hereunder for the Conversion Amount (as defined in the Debenture), but instead may, to the extent necessary to satisfy the amount of shares issuable upon conversion, issue shares above and beyond the amount reserved on account of the Conversion Amount, without any additional instructions or authorization from the Company, and the Company shall not provide the Transfer Agent with any instructions or documentation contrary to the foregoing. As of the date of this Agreement, the Transfer Agent is Transfer Online, Inc.. The Company shall at all times while any Debenture is outstanding engage a Transfer Agent which is a party to the Transfer Agent Instruction Letter. If for any reason the Company’s Transfer Agent is not a signatory of the Transfer Agent Instruction Letter while any Debenture, Warrant, or Restricted Stock are outstanding and held by the Buyer and/or Investments, then such Transfer Agent shall nonetheless be deemed bound by the Transfer Agent Instruction Letter, and the Company shall neither (i) permit the Transfer Agent to disclaim, disregard or refuse to abide by the Transfer Agent’s obligations, terms and agreements set forth in the Transfer Agent Instruction Letter, nor (ii) issue any instructions to the Transfer Agent contrary to the obligations, terms and agreements set forth in the Transfer Agent Instruction Letter . The Company shall not terminate the Transfer Agent or otherwise change Transfer Agents without at least fifteen (15) days prior written notice to the Buyer and with the Buyer’s prior written consent to such change, which the Buyer may grant or withhold in its sole discretion. The Company shall continuously monitor its compliance with the share reservation requirements and, if and to the extent necessary to increase the number of reserved shares to remain and be at least the Required Reserve Amount to account for any decrease in the Market Price of the Common Stock, the Company shall immediately (and in any event within three (3) business days) notify the Transfer Agent in writing of the reservation of such additional shares, provided that in the event that the number of shares reserved for conversion of the Debenture is less than the Required Reserve Amount, the Buyer may also directly instruct the Transfer Agent to increase the reserved shares as necessary to satisfy the minimum reserved share requirement, and the Transfer Agent shall act accordingly, provided, further, that the Company shall within one (1) business day provide any written confirmation, assent or documentation thereof as the Transfer Agent may request to act upon a share increase instruction delivered by the Buyer. The Company shall provide the Buyer with a copy of all written instructions to the Company’s Transfer Agent with respect to the reservation of shares simultaneously with the issuance of such instructions to the Transfer Agent. The Company covenants that no instruction other than such instructions referred to in this Section 5 and stop transfer instructions to give effect to Section 4(a) hereof prior to registration and sale of the Shares under the 1933 Act will be given by the Company to the Transfer Agent and that the Shares shall otherwise be freely transferable on the books and records of the Company as and to the extent provided in this Agreement and applicable law. If the Buyer provides the Company and/or the Transfer Agent with an opinion of counsel reasonably satisfactory to the Company that registration of a resale by the Buyer of any of the Securities in accordance with clause (1)(B) of Section 4(a) of this Agreement is not required under the 1933 Act, the Company shall (except as provided in clause (2) of Section 4(a) of this Agreement) permit the de-legending or transfer of the Securities and, in the case of the Shares, instruct the Company’s Transfer Agent to issue one or more certificates for Common Stock without legend in such name and in such denominations as specified by the Buyer.</w:t>
        <w:br/>
        <w:t xml:space="preserve">  b.</w:t>
        <w:br/>
        <w:t>Conversion. (i) The Company shall permit the Buyer to exercise the right to convert the Debenture by faxing, emailing or delivering overnight an executed and completed Notice of Conversion to the Company or the Transfer Agent. If so requested by the Buyer or the Transfer Agent, the Company shall within one (1) business day respond with its endorsement so as to confirm the outstanding principal amount of any Debenture submitted for conversion or shall reconcile any difference with the Buyer promptly after receiving such Notice of Conversion.</w:t>
        <w:br/>
        <w:t xml:space="preserve">  (ii)</w:t>
        <w:br/>
        <w:t>The term “Conversion Date” means, with respect to any conversion elected by the holder of the Debenture, the date specified in the Notice of Conversion, provided the copy of the Notice of Conversion is given either via mail or facsimile to or otherwise delivered to the Transfer Agent and/or the Company in accordance with the provisions hereof so that it is received by the Transfer Agent and/or the Company on or before such specified date.</w:t>
        <w:br/>
        <w:t xml:space="preserve">        14  </w:t>
        <w:br/>
        <w:t xml:space="preserve">    (iii)</w:t>
        <w:br/>
        <w:t>The Company shall deliver (or will cause the Transfer Agent to deliver) the Shares issuable upon conversion as follows: (1) if the Company is then DWAC Operational, via DWAC, (2) if the Common Stock is then eligible for the Depository Trust Company’s Direct Registration System (“DRS”), if so requested by the Buyer, or (3) if the Company is not then DWAC Operational or the Common Stock is not then eligible for DRS, in certificated form, to the Buyer at the address specified in the Notice of Conversion (which may be the Buyer’s address for notices as contemplated by Section 10 hereof or a different address) or Investments at the address specified in the Exercise Notice (as defined in the Warrant) (each an “Exercise Notice”), via express courier, in each case within two (2) business days (the “Delivery Date”) after the business day on which the Company or the Transfer Agent has received the Notice of Conversion or Exercise Notice (by facsimile, email or other delivery).</w:t>
        <w:br/>
        <w:t xml:space="preserve">  c.</w:t>
        <w:br/>
        <w:t>Failure to Timely Issue Shares or De-Legended Shares. The Company’s failure to issue and deliver Shares to the Buyer (either by DWAC, DRS or in certificated form, as required by Section 5(b)) on or before the Delivery Date shall be considered an Event of Default, which shall entitle the Buyer to certain remedies set forth in the Debenture, Warrant, and provided by applicable law. Similarly, the Company’s failure to issue and deliver Common Stock in unrestricted form without a restrictive legend when required under the Transaction Documents shall entitle the Buyer to damages for the diminution in value (if any) of the relevant shares between the date delivery was due versus the date ultimately delivered in unrestricted form. The Company acknowledges that its failure to timely honor a Notice of Conversion (or the occurrence of any other Event of Default) and/or Exercise Notice shall cause definable financial hardship on the Buyer(s) and that the remedies set forth herein and in the Debenture is reasonable and appropriate.</w:t>
        <w:br/>
        <w:t xml:space="preserve">  d.</w:t>
        <w:br/>
        <w:t>Duties of Company; Authorization. The Company shall inform the Transfer Agent of the reservation of shares contemplated by Section 4(g) and this Section 5, and shall keep current in its payment obligations to the Transfer Agent such that the Transfer Agent will continue to process share transfers and the initial issuance of shares of Common Stock upon the conversion of Debenture. The Company hereby authorizes and agrees to authorize the Transfer Agent to correspond and otherwise communicate with the Buyer or their representatives in connection with the foregoing and other matters related to the Common Stock. Further, the Company hereby authorizes the Buyer or its representative to provide instructions to the Transfer Agent that are consistent with the foregoing and instructs the Transfer Agent to honor any such instructions. Should the Company fail for any reason to keep current in its payment obligations to the Transfer Agent, the Buyer and/or Investments may pay such amounts as are necessary to compensate the Transfer Agent for performing its duties with respect to share reservation, issuance of Shares and/or de-legending certificates representing Restricted Stock, and all amounts so paid shall be promptly reimbursed by the Company. If not so reimbursed within thirty (30) days, such amounts shall, at the option of the Buyer and without prior notice to or consent of the Company, be added to the principal amount due under the Debenture held by the Buyer, whereupon interest will begin to accrue on such amounts at the rate specified in the Debenture.</w:t>
        <w:br/>
        <w:t xml:space="preserve">  e.</w:t>
        <w:br/>
        <w:t>Effect of Bankruptcy. The Buyer shall be entitled to exercise its conversion privilege with respect to the Debenture notwithstanding the commencement of any case under 11 U.S.C. §101 et seq. (the “Bankruptcy Code”). In the event the Company is a debtor under the Bankruptcy Code, the Company hereby waives, to the fullest extent permitted, any rights to relief it may have under 11 U.S.C. §362 in respect of the Buyer’s conversion privilege. The Company hereby waives, to the fullest extent permitted, any rights to relief it may have under 11 U.S.C. §362 in respect of the conversion of the Debenture. The Company agrees, without cost or expense to the Buyer, to take or to consent to any and all action necessary to effectuate relief under 11 U.S.C. §362.</w:t>
        <w:br/>
        <w:t xml:space="preserve">  6.</w:t>
        <w:br/>
        <w:t>CLOSING.</w:t>
        <w:br/>
        <w:t xml:space="preserve">  a.</w:t>
        <w:br/>
        <w:t>Closing. Promptly upon the execution and delivery of this Agreement, the Debenture, and all conditions in Sections 7 and 8 herein are met (the “Closing Date”), (A) the Company shall deliver to the Buyer the following: (i) the Debenture; (ii) the Transfer Agent Instruction Letter; (iii) duly executed counterparts of the Transaction Documents; and (iv) an officer’s certificate of the Company confirming the accuracy of the Company’s representations and warranties contained herein, and (B) the Buyer shall deliver to the Company the following: (i) the Purchase Price and (ii) duly executed counterparts of the Transaction Documents (as applicable). The Company shall immediately pay the fees due under Section 12 of this Agreement upon receipt of the Purchase Price if Buyer does not withhold such amounts from the Purchase Price pursuant to Section 12.</w:t>
        <w:br/>
        <w:t xml:space="preserve">  b.</w:t>
        <w:br/>
        <w:t>Location and Time of Closing. The Closing shall be deemed to occur on the related Closing Date at the office of the Buyer’s counsel and shall take place no later than 5:00 P.M., east coast time, on such day or such other time as is mutually agreed upon by the Company and the Buyer.</w:t>
        <w:br/>
        <w:t xml:space="preserve">        15  </w:t>
        <w:br/>
        <w:t xml:space="preserve">    7.</w:t>
        <w:br/>
        <w:t>CONDITIONS TO THE COMPANY’S OBLIGATION TO SELL.</w:t>
        <w:br/>
        <w:t xml:space="preserve">  The Company’s obligation to sell the Debenture to the Buyer pursuant to this Agreement on each Closing Date is conditioned upon:</w:t>
        <w:br/>
        <w:t xml:space="preserve">  a.</w:t>
        <w:br/>
        <w:t>Purchase Price. Delivery to the Company of good funds as payment in full of the respective Purchase Price for the Debenture at each Closing in accordance with this Agreement;</w:t>
        <w:br/>
        <w:t xml:space="preserve">  b.</w:t>
        <w:br/>
        <w:t>Representations and Warranties; Covenants. The accuracy on the Closing Date of the representations and warranties of the Buyer contained in this Agreement, each as if made on such date, and the performance by the Buyer on or before such date of all covenants and agreements of the Buyer required to be performed on or before such date; and</w:t>
        <w:br/>
        <w:t xml:space="preserve">  c.</w:t>
        <w:br/>
        <w:t>Laws and Regulations; Consents and Approvals. There shall not be in effect any law, rule or regulation prohibiting or restricting the transactions contemplated hereby, or requiring any consent or approval which shall not have been obtained.</w:t>
        <w:br/>
        <w:t xml:space="preserve">  8.</w:t>
        <w:br/>
        <w:t>CONDITIONS TO THE BUYER’S OBLIGATION TO PURCHASE.</w:t>
        <w:br/>
        <w:t xml:space="preserve">  The Buyer’s obligation to purchase the Debenture at each Closing is conditioned upon:</w:t>
        <w:br/>
        <w:t xml:space="preserve">  a.</w:t>
        <w:br/>
        <w:t>Transaction Documents. The execution and delivery of this Agreement by the Company;</w:t>
        <w:br/>
        <w:t xml:space="preserve">  b.</w:t>
        <w:br/>
        <w:t>Debenture. Delivery by the Company to the Buyer of the Debenture to be purchased in accordance with this Agreement, as well as the execution and delivery of the Registration Rights Agreement and Warrant by the Company;</w:t>
        <w:br/>
        <w:t xml:space="preserve">  c.</w:t>
        <w:br/>
        <w:t>Section 4(a)(2) Exemption. The Debenture, Warrant, and the Shares shall be exempt from registration under the Securities Act of 1933 (as amended), pursuant to Section 4(a)(2) thereof;</w:t>
        <w:br/>
        <w:t xml:space="preserve">  d.</w:t>
        <w:br/>
        <w:t>DWAC Status. The Common Stock shall be DWAC Operational;</w:t>
        <w:br/>
        <w:t xml:space="preserve">  e.</w:t>
        <w:br/>
        <w:t>Representations and Warranties; Covenants. The accuracy in all material respects on the Closing Date of the representations and warranties of the Company contained in this Agreement, each as if made on such date, and the performance by the Company on or before such date of all covenants and agreements of the Company required to be performed on or before such date;</w:t>
        <w:br/>
        <w:t xml:space="preserve">  f.</w:t>
        <w:br/>
        <w:t>Good-faith Opinion. It should be Buyer’s reasonable belief that (i) no Event of Default under the terms of any outstanding indebtedness of the Company shall have occurred or would likely occur with the passage of time and (ii) no material adverse change in the financial condition or business operations of the Company shall have occurred;</w:t>
        <w:br/>
        <w:t xml:space="preserve">  g.</w:t>
        <w:br/>
        <w:t>Legal Proceedings. There shall be no litigation, criminal or civil, regulatory impairment or other legal and/or administrative proceedings challenging or seeking to limit the Company’s ability to issue the Securities or the Common Stock;</w:t>
        <w:br/>
        <w:t xml:space="preserve">        16  </w:t>
        <w:br/>
        <w:t xml:space="preserve">    h.</w:t>
        <w:br/>
        <w:t>Company Counsel Opinion Letter. Delivery by the Company of an opinion letter issued by the Company’s counsel, in the form acceptable to the Buyer and the Placement Agent, covering the transactions contemplated by this Agreement and the issuance of the Securities.</w:t>
        <w:br/>
        <w:t xml:space="preserve">  i.</w:t>
        <w:br/>
        <w:t>Corporate Resolutions. Delivery by the Company to the Buyer a copy of resolutions of the Company’s board of directors, approving and authorizing the execution, delivery and performance of the Transaction Documents and the transactions contemplated thereby in the form attached hereto as Exhibit C (the “Irrevocable Resolutions”);</w:t>
        <w:br/>
        <w:t xml:space="preserve">  j.</w:t>
        <w:br/>
        <w:t>Officer’s Certificate. Delivery by the Company to the Buyer of a certificate of the Chief Executive Officer of the Company in the form attached hereto as Exhibit D;</w:t>
        <w:br/>
        <w:t xml:space="preserve">  k.</w:t>
        <w:br/>
        <w:t>Certificate of Good Standing. Delivery by the Company to the Buyer of a copy of a certificate of good standing with respect to the Company, issued by the Secretary of State of the state of incorporation of the Company, dated such a date as is reasonably acceptable to Buyer, evidencing the good standing thereof;</w:t>
        <w:br/>
        <w:t xml:space="preserve">  l.</w:t>
        <w:br/>
        <w:t>Laws and Regulations; Consents and Approvals. There shall not be in effect any law, rule or regulation prohibiting or restricting the transactions contemplated hereby, or requiring any consent or approval which shall not have been obtained; and</w:t>
        <w:br/>
        <w:t xml:space="preserve">  m.    Adverse Changes. From and after the date hereof to and including each Closing Date, (i) the trading of the Common Stock shall not have been suspended by the SEC, FINRA, or any other governmental or self-regulatory organization, and trading in securities generally on the Principal Market shall not have been suspended or limited, nor shall minimum prices been established for securities traded on the Principal Market; (ii) there shall not have occurred any outbreak or escalation of hostilities involving the United States or any material adverse change in any financial market that in either case in the reasonable judgment of the Buyer makes it impracticable or inadvisable to purchase the Debenture.</w:t>
        <w:br/>
        <w:t xml:space="preserve">  9.</w:t>
        <w:br/>
        <w:t>GOVERNING LAW; MISCELLANEOUS.</w:t>
        <w:br/>
        <w:t xml:space="preserve">  a.</w:t>
        <w:br/>
        <w:t>MANDATORY FORUM SELECTION. ANY DISPUTE ARISING UNDER, RELATING TO, OR IN CONNECTION WITH THE AGREEMENT OR RELATED TO ANY MATTER WHICH IS THE SUBJECT OF OR INCIDENTAL TO THE AGREEMENT (WHETHER OR NOT SUCH CLAIM IS BASED UPON BREACH OF CONTRACT OR TORT) SHALL BE SUBJECT TO THE EXCLUSIVE JURISDICTION AND VENUE OF THE STATE COURTS LOCATED IN MIAMI-DADE COUNTY, FLORIDA AND/OR FEDERAL COURTS LOCATED IN MIAMI-DADE COUNTY, FLORIDA.  THIS PROVISION IS INTENDED TO BE A “MANDATORY” FORUM SELECTION CLAUSE AND GOVERNED BY AND INTERPRETED CONSISTENTLY WITH FLORIDA LAW.</w:t>
        <w:br/>
        <w:t xml:space="preserve">  b.</w:t>
        <w:br/>
        <w:t>Governing Law. Except in the case of the Mandatory Forum Selection clause above, this Agreement shall be delivered and accepted in and shall be deemed to be contracts made under and governed by the internal laws of the State of Delaware, and for all purposes shall be construed in accordance with the laws of the State of Delaware, without giving effect to the choice of law provisions. To the extent determined by the applicable court described above, the Company shall reimburse the Buyer for any reasonable legal fees and disbursements incurred by the Buyer in enforcement of or protection of any of its rights under any of the Transaction Documents.</w:t>
        <w:br/>
        <w:t xml:space="preserve">  c.</w:t>
        <w:br/>
        <w:t>Waivers. Failure of any party to exercise any right or remedy under this Agreement or otherwise, or delay by a party in exercising such right or remedy, shall not operate as a waiver thereof.</w:t>
        <w:br/>
        <w:t xml:space="preserve">  d.</w:t>
        <w:br/>
        <w:t>Successors and Assigns. This Agreement shall inure to the benefit of and be binding upon the successors and assigns of each of the parties hereto.</w:t>
        <w:br/>
        <w:t xml:space="preserve">        17  </w:t>
        <w:br/>
        <w:t xml:space="preserve">    e.</w:t>
        <w:br/>
        <w:t>Construction. All pronouns and any variations thereof refer to the masculine, feminine or neuter, singular or plural, as the context may require.</w:t>
        <w:br/>
        <w:t xml:space="preserve">  f.</w:t>
        <w:br/>
        <w:t>Facsimiles; E-mails. A facsimile or email transmission of this signed Agreement or a Notice of Conversion under the Debenture shall be legal and binding on all parties hereto. Such electronic signatures shall be the equivalent of original signatures.</w:t>
        <w:br/>
        <w:t xml:space="preserve">  g.</w:t>
        <w:br/>
        <w:t>Counterparts. This Agreement may be signed in one or more counterparts, each of which shall be deemed an original.</w:t>
        <w:br/>
        <w:t xml:space="preserve">  h.</w:t>
        <w:br/>
        <w:t>Headings. The headings of this Agreement are for convenience of reference and shall not form part of, or affect the interpretation of, this Agreement.</w:t>
        <w:br/>
        <w:t xml:space="preserve">  i.</w:t>
        <w:br/>
        <w:t>Enforceability. If any provision of this Agreement shall be invalid or unenforceable in any jurisdiction, such invalidity or unenforceability shall not affect the validity or enforceability of the remainder of this Agreement or the validity or enforceability of this Agreement in any other jurisdiction.</w:t>
        <w:br/>
        <w:t xml:space="preserve">  j.</w:t>
        <w:br/>
        <w:t>Amendment. This Agreement may be amended only by the written consent of a majority in interest of the holders of the Debenture and an instrument in writing signed by the Company.</w:t>
        <w:br/>
        <w:t xml:space="preserve">  k.</w:t>
        <w:br/>
        <w:t>Entire Agreement. This Agreement, together with the other Transaction Documents, supersedes all prior agreements and understandings among the parties hereto with respect to the subject matter hereof.</w:t>
        <w:br/>
        <w:t xml:space="preserve">  l.</w:t>
        <w:br/>
        <w:t>No Strict Construction. This Agreement shall be construed as if both Parties had equal say in its drafting, and thus shall not be construed against the drafter.</w:t>
        <w:br/>
        <w:t xml:space="preserve">  m.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n.</w:t>
        <w:br/>
        <w:t>Placement Agent as Third Party Beneficiary. The Placement Agent shall be the third-party beneficiary of the representations and warranties of the Company in Section 3 and the representations and warranties of the Buyer in Section 2.</w:t>
        <w:br/>
        <w:t xml:space="preserve">  10.</w:t>
        <w:br/>
        <w:t xml:space="preserve">NOTICES. </w:t>
        <w:br/>
        <w:t>Any notice required or permitted hereunder shall be given in writing (unless otherwise specified herein) and shall be deemed effectively given on the earliest of:</w:t>
        <w:br/>
        <w:t xml:space="preserve">  a.</w:t>
        <w:br/>
        <w:t>the date delivered, if delivered by personal delivery as against written receipt therefor or by facsimile or email transmission,</w:t>
        <w:br/>
        <w:t xml:space="preserve">  b.</w:t>
        <w:br/>
        <w:t>the third (3rd) business day after deposit, postage prepaid, in the United States Postal Service by registered or certified mail, or</w:t>
        <w:br/>
        <w:t xml:space="preserve">  c.</w:t>
        <w:br/>
        <w:t>the first (1st) business day after deposit with a recognized courier service (e.g. FedEx, UPS, DHL, US Postal Service) for delivery by next-day express courier, with delivery costs and fees prepaid,</w:t>
        <w:br/>
        <w:t xml:space="preserve">  in each case, addressed to each of the other parties thereunto entitled at the following addresses (or at such other addresses as such party may designate by ten (10) days’ advance written notice similarly given to each of the other parties hereto):</w:t>
        <w:br/>
        <w:t xml:space="preserve">        18  </w:t>
        <w:br/>
        <w:t xml:space="preserve">    COMPANY:</w:t>
        <w:br/>
        <w:t>AppTech Payments Corp.</w:t>
        <w:br/>
        <w:t>0000 Xxxxx Xxx, Xxxxx 000</w:t>
        <w:br/>
        <w:t>Xxxxxxxx, XX 00000</w:t>
        <w:br/>
        <w:t>Attention: Xxxx X’Xxxxxx, Chief Executive Officer</w:t>
        <w:br/>
        <w:t>Email: Xxxxxxxx@xxxxxxxxxxx.xxx</w:t>
        <w:br/>
        <w:t xml:space="preserve">        BUYER:</w:t>
        <w:br/>
        <w:t>[_______________]</w:t>
        <w:br/>
        <w:t xml:space="preserve">    11.</w:t>
        <w:br/>
        <w:t xml:space="preserve">       SURVIVAL OF REPRESENTATIONS AND WARRANTIES. The Company’s representations and warranties herein shall survive for so long as any Debenture is outstanding, and shall inure to the benefit of the Buyer, its successors and assigns.</w:t>
        <w:br/>
        <w:t xml:space="preserve">  12.</w:t>
        <w:br/>
        <w:t xml:space="preserve">       FEES; EXPENSES.</w:t>
        <w:br/>
        <w:t xml:space="preserve">  a.</w:t>
        <w:br/>
        <w:t>Commitment Fee. A non-accountable fee (the “Commitment Fee”) of $20,000.00 shall be withheld from the Purchase Price by the Buyer on the Closing Date to cover the Buyer’s accounting fees, legal fees, and other transactional costs incurred in connection with the transactions contemplated by this Agreement. Further, the Company shall issue 100,000 shares of Restricted Stock (the “Commitment Shares”) on the Closing Date as follows: 50,000 of the Commitment Shares to Investments and 50,000 of the Commitment Shares to Buyer, as a commitment fee in connection with the issuance of the Debenture. Further, the Company shall issue the Warrant to Investments on the Closing Date as a commitment fee in connection with the issuance of the Debenture, and such Warrant shall be earned in full as of the Closing Date.</w:t>
        <w:br/>
        <w:t xml:space="preserve">    [Signature Page Follows]</w:t>
        <w:br/>
        <w:t xml:space="preserve">                                    19  </w:t>
        <w:br/>
        <w:t xml:space="preserve">    IN WITNESS WHEREOF, this Agreement has been duly executed by the Buyer and the Company as of the date first set forth above.</w:t>
        <w:br/>
        <w:t xml:space="preserve">    COMPANY:</w:t>
        <w:br/>
        <w:t xml:space="preserve">    APPTECH PAYMENTS CORP.</w:t>
        <w:br/>
        <w:t xml:space="preserve">      By:  [___________]</w:t>
        <w:br/>
        <w:t xml:space="preserve">  Name: Xxxx X’Xxxxxx</w:t>
        <w:br/>
        <w:t>Xxxxx: Chief Executive Officer</w:t>
        <w:br/>
        <w:t xml:space="preserve">          BUYER:</w:t>
        <w:br/>
        <w:t xml:space="preserve">    [_______________]</w:t>
        <w:br/>
        <w:t xml:space="preserve">                                                [Signature Page to Securities Purchase Agreement]</w:t>
        <w:br/>
        <w:t xml:space="preserve">        20  </w:t>
        <w:br/>
        <w:t xml:space="preserve">   </w:t>
        <w:br/>
        <w:t>SCHEDULE 3(b)</w:t>
        <w:br/>
        <w:t xml:space="preserve">          COMPANY ORGANIZATION CHART</w:t>
        <w:br/>
        <w:t xml:space="preserve">    Subsidiary / Affiliate</w:t>
        <w:br/>
        <w:t>Name and Relationship</w:t>
        <w:br/>
        <w:t>Jurisdiction of Incorporation Percentage of Ownership</w:t>
        <w:br/>
        <w:t>[___________] [___________] [___________]</w:t>
        <w:br/>
        <w:t>[___________] [___________] [___________]</w:t>
        <w:br/>
        <w:t xml:space="preserve">                                                                                                                  21  </w:t>
        <w:br/>
        <w:t xml:space="preserve">      SCHEDULE 3(c)</w:t>
        <w:br/>
        <w:t xml:space="preserve">       </w:t>
        <w:br/>
        <w:t>COMPANY CAPITALIZATION TABLE</w:t>
        <w:br/>
        <w:br/>
        <w:t>COMMON STOCK AND COMMON STOCK EQUIVALENTS</w:t>
        <w:br/>
        <w:t>ISSUED, OUTSTANDING AND RESERVED</w:t>
        <w:br/>
        <w:t xml:space="preserve">    DESCRIPTION AMOUNT</w:t>
        <w:br/>
        <w:t>Authorized Capital Stock 105,363,158</w:t>
        <w:br/>
        <w:t>Authorized Common Stock 105,263,158</w:t>
        <w:br/>
        <w:t>Issued Common Stock [___________]</w:t>
        <w:br/>
        <w:t>Outstanding Common Stock [___________]</w:t>
        <w:br/>
        <w:t>Treasury Stock [___________]</w:t>
        <w:br/>
        <w:t>Common Stock Previously Reserved (Warrants below) [___________]</w:t>
        <w:br/>
        <w:t>Authorized, but unissued [___________]</w:t>
        <w:br/>
        <w:t xml:space="preserve">    Authorized Preferred Stock 100,000</w:t>
        <w:br/>
        <w:t>Issued Preferred Stock (14 shares, each convert to 82 shares = 1,148 shares) 1,148</w:t>
        <w:br/>
        <w:t xml:space="preserve">    Reserved for Equity Incentive Plans [___________]</w:t>
        <w:br/>
        <w:t>Reserved for Convertible Debt [___________]</w:t>
        <w:br/>
        <w:t>Reserved for Warrants [___________]</w:t>
        <w:br/>
        <w:t>Reserved for Options [___________]</w:t>
        <w:br/>
        <w:t>Reserved for Other Purposes [___________]</w:t>
        <w:br/>
        <w:t xml:space="preserve">                                      22  </w:t>
        <w:br/>
        <w:t xml:space="preserve">      EXHIBITS</w:t>
        <w:br/>
        <w:t xml:space="preserve">    Exhibit A FORM OF DEBENTURE</w:t>
        <w:br/>
        <w:t xml:space="preserve">    Exhibit B FORM OF TRANSFER AGENT INSTRUCTION LETTER</w:t>
        <w:br/>
        <w:t xml:space="preserve">    Exhibit C FORM OF RESOLUTIONS OF THE BOARD OF DIRECTORS</w:t>
        <w:br/>
        <w:t xml:space="preserve">    Exhibit D FORM OF OFFICER’S CERTIFICATE</w:t>
        <w:br/>
        <w:t xml:space="preserve">                                                                      23  </w:t>
        <w:br/>
        <w:t xml:space="preserve">        EXHIBIT A</w:t>
        <w:br/>
        <w:t xml:space="preserve">        FORM OF DEBENTURE</w:t>
        <w:br/>
        <w:t xml:space="preserve">  (see attached)</w:t>
        <w:br/>
        <w:t xml:space="preserve">                                                      24  </w:t>
        <w:br/>
        <w:t xml:space="preserve">    EXHIBIT B</w:t>
        <w:br/>
        <w:t xml:space="preserve">          APPTECH PAYMENTS CORP.</w:t>
        <w:br/>
        <w:t xml:space="preserve">  IRREVOCABLE TRANSFER AGENT INSTRUCTION LETTER</w:t>
        <w:br/>
        <w:t xml:space="preserve">  (see attached)</w:t>
        <w:br/>
        <w:t xml:space="preserve">                                                25  </w:t>
        <w:br/>
        <w:t xml:space="preserve"> </w:t>
        <w:br/>
        <w:t>EXHIBIT C</w:t>
        <w:br/>
        <w:t xml:space="preserve">        IRREVOCABLE CORPORATE RESOLUTIONS OF THE</w:t>
        <w:br/>
        <w:t>BOARD OF DIRECTORS OF</w:t>
        <w:br/>
        <w:t>APPTECH PAYMENTS CORP.</w:t>
        <w:br/>
        <w:t xml:space="preserve">  (see attached)</w:t>
        <w:br/>
        <w:t xml:space="preserve">                                                                  26  </w:t>
        <w:br/>
        <w:t xml:space="preserve">      EXHIBIT D</w:t>
        <w:br/>
        <w:t xml:space="preserve">        OFFICER'S CERTIFICATE</w:t>
        <w:br/>
        <w:t xml:space="preserve">  (see attached)</w:t>
        <w:br/>
        <w:t xml:space="preserve">                                                                  27  </w:t>
        <w:br/>
        <w:t xml:space="preserve">    EXHIBIT I</w:t>
        <w:br/>
        <w:t xml:space="preserve">  ARTICLES OF INCORPORATION</w:t>
        <w:br/>
        <w:t xml:space="preserve">  (see attached)</w:t>
        <w:br/>
        <w:t xml:space="preserve">                                                                        28  </w:t>
        <w:br/>
        <w:t xml:space="preserve">    EXHIBIT II</w:t>
        <w:br/>
        <w:t xml:space="preserve">  BYLAWS</w:t>
        <w:br/>
        <w:t xml:space="preserve">  (see attached)</w:t>
        <w:br/>
        <w:t xml:space="preserve">                                                                29  </w:t>
        <w:br/>
        <w:t xml:space="preserve">    EXHIBIT III</w:t>
        <w:br/>
        <w:t xml:space="preserve">  RESOLUTIONS OF THE BOARD OF DIRECTORS</w:t>
        <w:br/>
        <w:t xml:space="preserve">  (see attached)</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