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June 18, 2024, by and between SIGNING DAY SPORTS, INC., a Delaware corporation, with headquarters located at 0000 Xxxx Xxxxxxxx Xx., Xxxxx 000, Xxxxxxxxxx, XX 00000 (the “Company”), and FIRSTFIRE GLOBAL OPPORTUNITIES FUND, LLC, a Delaware limited liability company, with its address at 0000 Xxxxx Xxxxxx, Xxxxx 000, Xxx Xxxx, XX 00000 (the “Buyer”).</w:t>
        <w:br/>
        <w:t xml:space="preserve">  WHEREAS:</w:t>
        <w:br/>
        <w:t xml:space="preserve">  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w:t>
        <w:br/>
        <w:t xml:space="preserve">  B. Buyer desires to purchase from the Company, and the Company desires to issue and sell to the Buyer, upon the terms and conditions set forth in this Agreement, a senior secured promissory note of the Company, in the aggregate principal amount of $198,611.00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par value $0.0001 per share, of the Company (the “Common Stock”), upon the terms and subject to the limitations and conditions set forth in such Note; and</w:t>
        <w:br/>
        <w:t xml:space="preserve">  C. The Company wishes to issue a common stock purchase warrant to purchase 662,036 shares of Common Stock (the “First Warrant”), a common stock purchase warrant to purchase 120,370 shares of Common Stock (the “Second Warrant”, and collectively with the First Warrant, the “Warrants”), and 90,277 shares of Common Stock (the “Commitment Shares”), to the Buyer as additional consideration for the purchase of the Note, which all shall be earned in full as of the Closing Date, as further provided herein; and</w:t>
        <w:br/>
        <w:t xml:space="preserve">  D. In connection with this Agreement, the Company and the Buyer shall enter into a security agreement (the “Security Agreement”), the form of which is attached hereto as Exhibit C, as well as a registration rights agreement (the “Registration Rights Agreement”), the form of which is attached hereto as Exhibit D, in each case on the date of this Agreement.</w:t>
        <w:br/>
        <w:t xml:space="preserve">  NOW THEREFORE, in consideration of the foregoing and of the agreements and covenants herein contained, and for other good and valuable consideration, the receipt and sufficiency of which is hereby acknowledged, the Company and the Buyer hereby agree as follows:</w:t>
        <w:br/>
        <w:t xml:space="preserve">  1. Purchase and Sale of Note.</w:t>
        <w:br/>
        <w:t xml:space="preserve">  a. Purchase of Note. On the Closing Date (as defined below), the Company shall issue and sell to the Buyer, and the Buyer agrees to purchase from the Company, the Note, as further provided herein. As used in this Agreement, the term “business day” shall mean any day other than a Saturday, Sunday, or a day on which commercial banks in the city of New York, New York are authorized or required by law or executive order to remain closed.</w:t>
        <w:br/>
        <w:t xml:space="preserve">  b. Form of Payment. On the Closing Date: (i) the Buyer shall pay the purchase price of $ 175,000.00 (the “Purchase Price”) for the Note, to be issued and sold to it at the Closing (as defined below), by wire transfer of immediately available funds to the Company, in accordance with the Company’s written wiring instructions, against delivery of the Note, and (ii) the Company shall deliver such duly executed Note and the Warrants to the Buyer, against delivery of such Purchase Price. On the Closing Date, the Buyer shall withhold a non-accountable sum of $6,500.00 from the Purchase Price to cover the Buyer’s legal fees in connection with the transactions contemplated by this Agreement. On the Closing Date, the Buyer shall also withhold a sum of $14,000.00 from the Purchase Price to cover the Company’s fees owed to Boustead Securities, LLC, a registered broker-dealer (CRD#: 141391) (“Boustead”), in connection with the transactions contemplated by this Agreement.</w:t>
        <w:br/>
        <w:t xml:space="preserve">  c. Closing Date. Subject to the satisfaction (or written waiver) of the conditions thereto set forth in Section 6 and Section 7 below, the date and time of the issuance and sale of the Note pursuant to this Agreement (the “Closing Date”) shall be on the date that the Purchase Price for the Note is paid by Buyer pursuant to the terms of this Agreement.</w:t>
        <w:br/>
        <w:t xml:space="preserve">      d. Closing. The closing of the transactions contemplated by this Agreement (the “Closing”) shall occur on the Closing Date at such location as may be agreed to by the parties (including via exchange of electronic signatures).</w:t>
        <w:br/>
        <w:t xml:space="preserve">  1A. Warrants; Commitment Shares. On or before the Closing Date, the Company shall issue the Warrants to the Buyer pursuant to the terms contained therein as well as the Commitment Shares to the Buyer, each of which shall be earned in full as of the Closing Date.</w:t>
        <w:br/>
        <w:t xml:space="preserve">  2. Buyer’s Representations and Warranties. The Buyer represents and warrants to the Company as of the Closing Date that:</w:t>
        <w:br/>
        <w:t xml:space="preserve">  a. Investment Purpose. As of the Closing Date, the Buyer is purchasing the Note, Commitment Shares, and Warrants (the Note, Commitment Shares, Warrants, shares of Common Stock issuable upon conversion of or otherwise pursuant to the Note (the “Conversion Shares”), and shares of Common Stock issuable upon exercise of or otherwise pursuant to the Warrants (the “Exercise Shares”) shall collectively be referred to herein as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br/>
        <w:t xml:space="preserve">  b. Accredited Investor Status. The Buyer is an “accredited investor” as that term is defined in Rule 501(a) of Regulation D (an “Accredited Investor”).</w:t>
        <w:br/>
        <w:t xml:space="preserve">  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br/>
        <w:t xml:space="preserve">  d. Information. The Buyer and its advisors, if any, have been, and for so long as the Note remains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the Buyer or any of its advisors or representatives shall modify, amend or affect Buyer’s right to rely on the Company’s representations and warranties contained in Section 3 below.</w:t>
        <w:br/>
        <w:t xml:space="preserve">  e. Governmental Review. The Buyer understands that no United States federal or state agency or any other government or governmental agency has passed upon or made any recommendation or endorsement of the Securities.</w:t>
        <w:br/>
        <w:t xml:space="preserve">  2</w:t>
        <w:br/>
        <w:t xml:space="preserve">    f. Transfer or Re-sale. The Buyer understands that (i) the sale or resale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or (e) the Securities are sold pursuant to Regulation S under the 1933 Act (or a successor rule) (“Regulation S”), and the Buyer shall have delivered to the Company, at the cost of the Company, an opinion of counsel that shall be in form, substance and scope customary for opinions of counsel in corporate transactions;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in connection with a bona fide margin account or other lending arrangement secured by the Securities, and such pledge of Securities shall not be deemed to be a transfer, sale or assignment of the Securities hereunder, and the Buyer in effecting such pledge of Securities shall not be required to provide the Company with any notice thereof or otherwise make any delivery to the Company pursuant to this Agreement or otherwise.</w:t>
        <w:br/>
        <w:t xml:space="preserve">  g. Legends. The Buyer understands that until such time as the Note, Warrants, Commitment Shares, Conversion Shares, and/or Exercise Shares, have been registered under the 1933 Act or may be sold pursuant to Rule 144, Rule 144A under the 1933 Act, Regulation S, or other applicable exemption without any restriction as to the number of securities as of a particular date that can then be immediately sold, the Securities may bear a restrictive legend in substantially the following form (and a stop-transfer order may be placed against transfer of such Securities):</w:t>
        <w:br/>
        <w:t xml:space="preserve">  “NEITHER THE ISSUANCE AND SALE OF THE SECURITIES REPRESENTED BY THIS CERTIFICATE NOR THE SECURITIES INTO WHICH THESE SECURITIES ARE [CONVERTIBLE/EXERCISABLE]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REGULATION S, OR OTHER APPLICABLE EXEMPTION UNDER SAID ACT. NOTWITHSTANDING THE FOREGOING, THE SECURITIES MAY BE PLEDGED IN CONNECTION WITH A BONA FIDE MARGIN ACCOUNT OR OTHER LOAN OR FINANCING ARRANGEMENT SECURED BY THE SECURITIES.”</w:t>
        <w:br/>
        <w:t xml:space="preserve">  The legend set forth above shall be removed and the Company shall issue a certificate or book entry statement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Buyer provides the Legal Counsel Opinion (as contemplated by and in accordance with Section 4(l) hereof)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Rule 144A, Regulation S, or other applicable exemption at the Deadline (as defined in the Note), it will be considered an Event of Default pursuant to Section 3.2 of the Note.</w:t>
        <w:br/>
        <w:t xml:space="preserve">  h. Formation. The Buyer represents and warrants that it is a limited liability company duly formed and validly existing under the laws of the State of Delaware and is in good standing with the relevant authorities.</w:t>
        <w:br/>
        <w:t xml:space="preserve">  3</w:t>
        <w:br/>
        <w:t xml:space="preserve">    i.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3. Representations and Warranties of the Company. The Company represents and warrants to the Buyer as of the Closing Date that, except as otherwise disclosed in the SEC Documents:</w:t>
        <w:br/>
        <w:t xml:space="preserve">  a. Organization and Qualification. The Company and each of its Subsidiaries (as defined below), if any, is a corporation duly organized, validly existing and in good standing under the laws of the jurisdiction in which it is incorporated or formed, with full power and authority (corporate and other) to own, lease, use and operate its properties and to carry on its business as and where now owned, leased, used, operated and conducted. The SEC Documents (as defined below) set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in which the Company owns, directly or indirectly, the majority of equity or other ownership interest or has a controlling interest.</w:t>
        <w:br/>
        <w:t xml:space="preserve">  b. Authorization; Enforcement.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Warrants, the Note, the Commitment Shares, the Conversion Shares, and the Exercise Shares by the Company and the consummation by it of the transactions contemplated hereby and thereby (including without limitation, the issuance of the Note and the Warrants, as well as the issuance and reservation for issuance of the Conversion Shares and the Exercise Shares issuable upon conversion of the Note and/or exercise of the Warrants) have been duly authorized by the Company’s Board of Directors and no further consent or authorization of the Company, its Board of Directors, its shareholders, or its debt holders is required, (iii) this Agreement and the Note (together with any other instruments executed in connection herewith or therewith) will, upon delivery, have been duly executed and delivered by the Company by its authorized representative, and such authorized representative is the true and official representative with authority to sign this Agreement, the Note and the other instruments and documents that shall be executed in connection herewith or therewith and bind the Company accordingly, and (iv) this Agreement constitutes, and upon execution and delivery by the Company of the Note, each of such instruments will constitute, a legal, valid and binding obligation of the Company, enforceable against the Company in accordance with their terms, enforceable against it in accordance with their terms, except as enforcement may be limited by bankruptcy, insolvency, reorganization, moratorium or other similar laws affecting creditors’ rights generally and except as may be limited by the exercise of judicial discretion in applying principles of equity.</w:t>
        <w:br/>
        <w:t xml:space="preserve">  c. Capitalization; Governing Documents. As of June 18, 2024, the authorized capital stock of the Company consists of: 150,000,000 authorized shares of Common Stock, of which 16,002,278 shares were issued and outstanding, and 15,000,000 authorized shares of preferred stock, of which 0 shares of preferred stock were issued and outstanding. All of such outstanding shares of capital stock of the Company, the Conversion Shares, the Exercise Shares, and the Commitment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of the Company or as listed on Schedule 3(c):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there are no agreements or arrangements under which the Company or any of its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w:t>
        <w:br/>
        <w:t xml:space="preserve">  4</w:t>
        <w:br/>
        <w:t xml:space="preserve">    d. Issuance of Conversion Shares and Exercise Shares. The Conversion Shares and Exercise Shares are duly authorized and reserved for issuance and, upon conversion of the Note and/or exercise of the Warrants in accordance with its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e. Issuance of Warrants and Commitment Shares. The issuance of the Warrants and the Commitment Shares are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br/>
        <w:t xml:space="preserve">  f. Acknowledgment of Dilution. The Company understands and acknowledges the potentially dilutive effect of the Conversion Shares and the Exercise Shares to the Common Stock upon the conversion of the Note and/or exercise of the Warrants. The Company further acknowledges that its obligation to issue, upon conversion of the Note and/or exercise of the Warrants, the Conversion Shares and/or the Exercise Shares, are absolute and unconditional regardless of the dilutive effect that such issuance may have on the ownership interests of other shareholders of the Company.</w:t>
        <w:br/>
        <w:t xml:space="preserve">  g. Ranking; No Conflicts. The Note shall be a secured obligation of the Company pursuant to the terms of the Security Agreement. Except as disclosed on Schedule 3(g) and with respect to any other security interest granted by the Company to the Buyer, the Company represents and warrants that there are no security interests in, or liens on, the Company’s assets as of the date of this Agreement except as created in favor of Buyer under the Security Agreement and as further disclosed in the Security Agreement. The execution, delivery and performance of this Agreement and the Note by the Company and the consummation by the Company of the transactions contemplated hereby and thereby (including, without limitation, the issuance and reservation for issuance of the Conversion Shares and Exercise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or (iv) trigger any anti-dilution and/or ratchet provision contained in any other contract in which the Company is a party thereto or any security issued by the Company.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and/or exercise of the Warrants, issue Conversion Shares and/or Exercise Shares as applicable. All consents, authorizations, orders, filings and registrations which the Company is required to obtain pursuant to the preceding sentence have been obtained or effected on or prior to the date hereof. The Company is not in violation of the listing requirements of the Principal Market (as defined herein) and does not reasonably anticipate that the Common Stock will be delisted by the Principal Market in the foreseeable future. The Company and its Subsidiaries are unaware of any facts or circumstances which might give rise to any of the foregoing. The “Principal Market” shall mean the principal securities exchange or trading market where such Common Stock is listed or traded, including but not limited to any tier of the OTC Markets Group, Inc., any tier of The Nasdaq Stock Market LLC (including Nasdaq Capital Market), or the NYSE American LLC, or any successor to such markets.</w:t>
        <w:br/>
        <w:t xml:space="preserve">  5</w:t>
        <w:br/>
        <w:t xml:space="preserve">    h. SEC Documents; Financial Statements. The Company has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hereinafter referred to herein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to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year-end audit adjustments). Except as set forth in the financial statements of the Company included in the SEC Documents, the Company has no liabilities, contingent or otherwise, other than (i) liabilities incurred in the ordinary course of business subsequent to March 31, 2024,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 The Company has never been a “shell company” as described in Rule 144(i)(1)(i).</w:t>
        <w:br/>
        <w:t xml:space="preserve">  i. Absence of Certain Changes. Since March 31, 2024, there has been no material adverse change and no material adverse development in the assets, liabilities, business, properties, operations, financial condition, results of operations, prospects or 1934 Act reporting status of the Company or any of its Subsidiaries.</w:t>
        <w:br/>
        <w:t xml:space="preserve">  j. Absence of Litigation.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w:t>
        <w:br/>
        <w:t xml:space="preserve">  k. Intellectual Property.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the Company’s or its Subsidiaries’ current and intended products, services and processes do not infringe on any Intellectual Property or other rights held by any person; and the Company is unaware of any facts or circumstances which might give rise to any of the foregoing, in each such case that could have a Material Adverse Effect. The Company and each of its Subsidiaries have taken reasonable security measures to protect the secrecy, confidentiality and value of their Intellectual Property.</w:t>
        <w:br/>
        <w:t xml:space="preserve">  6</w:t>
        <w:br/>
        <w:t xml:space="preserve">    l. No Materially Adverse Contracts, Etc. Neither the Company nor any of its Subsidiaries is subject to any charter, corporate or other legal restriction, or any judgment, decree, order, rule or regulation which in the judgment of the Company has or is expected in the future to have a Material Adverse Effect. Neither the Company nor any of its Subsidiaries is a party to any contract or agreement which in the judgment of the Company has or is expected to have a Material Adverse Effect.</w:t>
        <w:br/>
        <w:t xml:space="preserve">  m.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Company knows of no basis for any such claim. The Company has not executed a waiver with respect to the statute of limitations relating to the assessment or collection of any foreign, federal, state or local tax. None of the Company’s tax returns is presently being audited by any taxing authority.</w:t>
        <w:br/>
        <w:t xml:space="preserve">  n. Transactions with Affiliates. Except as described in the SEC Documents and except for arm’s length transactions pursuant to which the Company or any of its Subsidiaries makes payments in the ordinary course of business upon terms no less favorable than the Company or any of its Subsidiaries could obtain from third parties and other than the grant of stock options and other transactions with the affiliates of the Company described in the SEC Documents, none of the officers, directors, or employees of the Company is presently a party to any material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br/>
        <w:t xml:space="preserve">  o. Disclosure. All information relating to or concerning the Company or any of its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br/>
        <w:t xml:space="preserve">  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br/>
        <w:t xml:space="preserve">  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Except with respect to prior issuances of securities to the Buyer or to prior or contemplated issuances of securities to Boustead as placement agent compensation in connection with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br/>
        <w:t xml:space="preserve">  7</w:t>
        <w:br/>
        <w:t xml:space="preserve">    r. No Brokers; No Solicitation. Except with respect to Boustead the Company has taken no action which would give rise to any claim by any person for brokerage commissions, transaction fees or similar payments relating to this Agreement or the transactions contemplated hereby. The Company represents and warrants that neither the Buyer nor its employee(s), member(s), beneficial owner(s), or partner(s) solicited the Company to enter into this Agreement and consummate the transactions described in this Agreement. The Company represents and warrants that neither the Buyer nor its employee(s), member(s), beneficial owner(s), or partner(s) is required to be registered as a broker-dealer under the 1934 Act in order to (i) enter into or consummate the transactions encompassed by this Agreement, the Security Agreement, the Registration Rights Agreement, the Note, the Warrants, and the related transaction documents entered into in connection herewith (the “Transaction Documents”), (ii) fulfill the Buyer’s obligations under the Transaction Documents, or (iii) exercise any of the Buyer’s rights under the Transaction Documents (including but not limited to the sale of the Securities).</w:t>
        <w:br/>
        <w:t xml:space="preserve">  s.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in each such case that could have a Material Adverse Effect..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March 31, 2024,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br/>
        <w:t xml:space="preserve">  t. Environmental Matters.</w:t>
        <w:br/>
        <w:t xml:space="preserve">  (i)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br/>
        <w:t xml:space="preserve">  (iii) There are no underground storage tanks on or under any real property owned, leased or used by the Company or any of its Subsidiaries that are not in compliance with applicable law.</w:t>
        <w:br/>
        <w:t xml:space="preserve">  8</w:t>
        <w:br/>
        <w:t xml:space="preserve">    u. Title to Property. Except as disclosed in the SEC Documents and Schedule 3(u) hereto,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would not have a Material Adverse Effect. Any real property and facilities held under lease by the Company and its Subsidiaries are held by them under valid, subsisting and enforceable leases with such exceptions as would not have a Material Adverse Effect.</w:t>
        <w:br/>
        <w:t xml:space="preserve">  v.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br/>
        <w:t xml:space="preserve">  w. [Reserved]</w:t>
        <w:br/>
        <w:t xml:space="preserve">  x. Foreign Corrupt Practices. Neither the Company, nor any of its Subsidiaries, nor, to the Company’s knowledge,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br/>
        <w:t xml:space="preserve">  y. Solvency. The Company (after giving effect to the transactions contemplated by this Agreement) is solvent (i.e., its assets have a fair market value in excess of the amount required to pay its probable liabilities on its existing debts as they become absolute and matured) and currently the Company has no information that would lead it to reasonably conclude that the Company would not, after giving effect to the transaction contemplated by this Agreement, have the ability to, nor does it intend to take any action that would impair its ability to, pay its debts from time to time incurred in connection therewith as such debts mature. The Company’s financial statements for its most recent fiscal year end and interim financial statements have been prepared assuming the Company will continue as a going concern, which contemplates the realization of assets and the satisfaction of liabilities in the normal course of business.</w:t>
        <w:br/>
        <w:t xml:space="preserve">  z.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br/>
        <w:t xml:space="preserve">  aa. No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bb. No Disqualification Events. None of the Company nor, to the Company’s knowledge,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br/>
        <w:t xml:space="preserve">  9</w:t>
        <w:br/>
        <w:t xml:space="preserve">    cc.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dd.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ee. Illegal or Unauthorized Payments; Political Contributions. Neither the Company nor any of its Subsidiaries nor, to the Company’s knowledge,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ff. Breach of Representations and Warranties by the Company. The Company agrees that if the Company breaches any of the representations or warranties set forth in this Section 3 and in addition to any other remedies available to the Buyer pursuant to this Agreement, it will be considered an Event of Default under Section 3.4 of the Note.</w:t>
        <w:br/>
        <w:t xml:space="preserve">  4. ADDITIONAL COVENANTS, AGREEMENTS AND ACKNOWLEDGEMENTS.</w:t>
        <w:br/>
        <w:t xml:space="preserve">  a. Best Efforts. The parties shall use their best efforts to satisfy timely each of the conditions described in Section 6 and 7 of this Agreement.</w:t>
        <w:br/>
        <w:t xml:space="preserve">  b. Form D; Blue Sky Laws. The Company agrees to file a Form D with respect to the Securities if required under Regulation D and to provide a copy thereof to the Buyer promptly after such filing. The Company shall, on or before the Closing Date, take such action as the Company shall reasonably determine is necessary to qualify the Securities for sale to the Buyer at the applicable closing pursuant to this Agreement under applicable securities or “blue sky” laws of the states of the United States (or to obtain an exemption from such qualification), and shall provide evidence of any such action so taken to the Buyer on or prior to the Closing Date.</w:t>
        <w:br/>
        <w:t xml:space="preserve">  c. Use of Proceeds. The Company shall use the Purchase Price for business development and general working capital, and not for any other purpose, including but not limited to (i) the repayment of any indebtedness owed to officers, directors or employees of the Company or their affiliates, (ii) the repayment of any debt issued in corporate finance transactions (including but not limited to promissory notes that have the ability to be converted into Common Stock), (iii) any loan to or investment in any other corporation, partnership, enterprise or other person (except in connection with the Company’s currently existing operations), (iv) any loan, credit, or advance to any officers, directors, employees, or affiliates of the Company, or (v) in violation or contravention of any applicable law, rule or regulation.</w:t>
        <w:br/>
        <w:t xml:space="preserve">  10</w:t>
        <w:br/>
        <w:t xml:space="preserve">    d. Right of Participation and First Refusal.</w:t>
        <w:br/>
        <w:t xml:space="preserve">  (i) Other than arrangements that are in place or disclosed in SEC Documents prior to the date of this Agreement, and other than any Excluded Issuance (as defined below), from the date of this Agreement until the date that the Note is extinguished in its entirety, the Company will not, (i) directly or indirectly, offer, sell, grant any option to purchase, or otherwise dispose of (or announce any offer, sale, grant or any option to purchase or other disposition of) any of its or its Subsidiaries’ debt, equity, or equity equivalent securities, including without limitation any debt, preferred shares or other instrument or security that is, at any time during its life and/or under any circumstances, convertible into, exchangeable, or exercisable for Common Stock (any such offer, sale, grant, disposition or announcement being referred to as a “Subsequent Placement”) or (ii) enter into any definitive agreement with regard to the foregoing, in each case unless the Company shall have first complied with this Section 4(d). “Excluded Issuance” shall mean an issuance or sale of any Common Stock or any securities of the Company or its Subsidiaries which entitle the holder thereof to acquire at any time shares of Common Stock, including, without limitation, shares of Common Stock, any debt, preferred shares, rights, options, warrants or other instrument that is at any time convertible into or exercisable or exchangeable for, or otherwise entitles the holder thereof to receive, shares of Common Stock (“Common Stock Equivalents”) issued or sold by the Company in connection with: (a) a grant to any existing or prospective directors, officers or other employees, sales agents, consultants, or service providers of the Company or any Subsidiary pursuant to a stock incentive plan or similar equity-based plans or other compensation agreement; (b) the conversion or exchange of any securities of the Company into capital stock, or the exercise of any warrants or other rights to acquire capital stock issued and outstanding on the date hereof, provided such securities have not been amended since the date hereof to increase the number of such securities or to decrease the exercise price or exchange price of such securities; (c) any acquisition by the Company or any Subsidiary of any equity interests, assets, properties, or business of any Person; (d) any strategic license agreements, mergers, consolidations, business combinations, acquisitions, purchases or leases of assets, partnering arrangements, joint ventures, strategic alliances, investor relations or public relations agreements, or other commercial relationships (including to persons who are customers and suppliers of the Company) relating to the operation of the Company’s business, so long as such issuances are not primarily for the purpose of raising capital or to an entity whose primary business is investing in securities; (e) any subdivision of Common Stock (by a split of Common Stock or otherwise), payment of stock dividend, reclassification, reorganization, or any similar recapitalization; (f) securities issued to banks, equipment lessors or other financial institutions, or to real property lessors, pursuant to a debt financing, equipment leasing or real property leasing transaction, approved by a majority of the independent directors of the Company; (g) securities issued in connection with the provision of goods or services pursuant to transactions approved by a majority of the independent directors of the Company; or (i) securities issued pursuant to acquisitions or strategic transactions approved by a majority of the disinterested directors of the Company, provided that such securities are issued as “restricted securities” (as defined in Rule 144) and carry no registration rights that require or permit the filing of any registration statement in connection therewith, and provided that any such issuance shall only be to a person (or to the equityholders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(ii) The Company shall deliver to the Buyer an irrevocable written notice (the “Offer Notice”) of any proposed or intended Subsequent Placement, which shall (w) identify and describe the Subsequent Placement, (x) describe the price and other terms upon which they are to be issued, sold or exchanged, and the number or amount of the securities in the Subsequent Placement to be issued, sold, or exchanged and (y) offer to issue and sell to or exchange with the Buyer at least $198,611.00 of the securities in the Subsequent Placement (in each case, an “Offer”).</w:t>
        <w:br/>
        <w:t xml:space="preserve">  (iii) To accept an Offer, in whole or in part, the Buyer must deliver a written notice (the “Notice of Acceptance”) to the Company prior to the end of the fifth (5th) Trading Day (as defined in the Note) after the Buyer’s receipt of the Offer Notice (the “Offer Period”), setting forth the amount that the Buyer elects to purchase (the “Subscription Amount”). The Company shall complete the Subsequent Placement and issue and sell the Subscription Amount to the Buyer upon terms and conditions (including, without limitation, unit prices and interest rates) set forth in the Offer Notice, unless a change to such terms and conditions is agreed to in writing between the Company and Buyer. The Buyer may elect to exchange any amounts owed under the Note (plus the prepayment premiums provided for in Section 1.9 of the Note if prior to the occurrence of an Event of Default (as defined in the Note) under the Note) in lieu of cash consideration with respect to all or any portion of the Subscription Amount.</w:t>
        <w:br/>
        <w:t xml:space="preserve">  (iv) Notwithstanding anything to the contrary contained herein, if the Company desires to modify or amend the terms or conditions of a Subsequent Placement at any time after the Offer Notice is given to Buyer (provided, however, that such modification or amendment to the terms or conditions cannot occur during any Offer Period), the Company shall deliver to the Buyer a new Offer Notice and the Offer Period of such new Offer shall expire at the end of the fifth (5th) Trading Day after the Buyer’s receipt of such new Offer Notice.</w:t>
        <w:br/>
        <w:t xml:space="preserve">  11</w:t>
        <w:br/>
        <w:t xml:space="preserve">    e.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br/>
        <w:t xml:space="preserve">  f.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or (b) sell, divest, acquire, or change the structure of any material assets other than in the ordinary course of business.</w:t>
        <w:br/>
        <w:t xml:space="preserve">  g. Listing. The Company will, so long as the Buyer owns any of the Securities,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Inc.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br/>
        <w:t xml:space="preserve">  h. Corporate Existence. The Company will, so long as the Buyer beneficially owns any of the Securities, maintain its corporate existence and shall not sell all or substantially all of the Company’s assets, except in the event of a merger or consolidation with the written consent of the Buyer or sale of all or substantially all of the Company’s assets with the written consent of the Buyer,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any tier of The Nasdaq Stock LLC Market, the New York Stock Exchange or the NYSE American LLC.</w:t>
        <w:br/>
        <w:t xml:space="preserve">  i.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br/>
        <w:t xml:space="preserve">  j. Compliance with 1934 Act; Public Information Failures. For so long as the Buyer beneficially owns the Note, the Commitment Shares, the Warrants, the Conversion Shares, or any Exercise Shares, the Company shall comply with the reporting requirements of the 1934 Act; and the Company shall continue to be subject to the reporting requirements of the 1934 Act.</w:t>
        <w:br/>
        <w:t xml:space="preserve">  k. Acknowledgement Regarding Buyer’s Trading Activity. Until the Note is fully repaid or fully converted, the Buyer shall not effect any “short sale” (as such term is defined in Rule 200 of Regulation SHO of the 1934 Act) of the Common Stock which establishes a net short position with respect to the Common Stock.</w:t>
        <w:br/>
        <w:t xml:space="preserve">  12</w:t>
        <w:br/>
        <w:t xml:space="preserve">    l. Legal Counsel Opinions. Upon the request of the Buyer from to time to time, the Company shall be responsible (at its cost) for promptly supplying to the Company’s transfer agent and the Buyer a customary legal opinion letter of its counsel (the “Legal Counsel Opinion”) to the effect that the resale of the Conversion Shares and/or Exercise Shares by the Buyer or its affiliates, successors and assigns is exempt from the registration requirements of the 1933 Act pursuant to Rule 144 (provided the requirements of Rule 144 are satisfied and provided the Conversion Shares and/or Exercise Shares are not then registered under the 1933 Act for resale pursuant to an effective registration statement) or other applicable exemption (provided the requirements of such other applicable exemption are satisfied). In addition, the Buyer may (at the Company’s cost) at any time secure its own legal counsel to issue the Legal Counsel Opinion, and the Company will instruct its transfer agent to accept such opinion. The Company hereby agrees that it may never take the position that it is a “shell company” in connection with its obligations under this Agreement or otherwise.</w:t>
        <w:br/>
        <w:t xml:space="preserve">  m. Piggy-Back Registration Rights. The Company hereby grants to the Buyer the piggy-back registration rights set forth in Exhibit B hereto.</w:t>
        <w:br/>
        <w:t xml:space="preserve">  n. Most Favored Nation. Except as to an Excluded Issuance, while the Note or any principal amount, interest or fees or expenses due thereunder remain outstanding and unpaid, the Company shall not enter into any public or private offering of its securities (including securities convertible into shares of Common Stock) with any individual or entity (an “Other Investor”) that has the effect of establishing rights or otherwise benefiting such Other Investor in a manner more favorable in any material respect to such Other Investor (even if the Other Investor does not receive the benefit of such more favorable term until a default occurs under such other security) than the rights and benefits established in favor of the Buyer by this Agreement or the Note unless, in any such case, the Buyer has been provided with such rights and benefits pursuant to a definitive written agreement or agreements between the Company and the Buyer.</w:t>
        <w:br/>
        <w:t xml:space="preserve">  o. Subsequent Variable Rate Transactions. From the date hereof until such time as the Note is fully converted or fully repaid, the Company shall not effect or enter into an agreement involving a Variable Rate Transaction without the prior written consent of the Buyer, which consent shall not be unreasonably withheld, other than an “at-the-market” offering of securities under an effective shelf registration statement pursuant to a sales agreement with a broker-dealer.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any agreement, including, but not limited to, an Equity Line of Credit (as defined in the Note), whereby the Company may issue securities at a future determined price. The Buyer shall be entitled to obtain injunctive relief against the Company to preclude any such issuance, which remedy shall be in addition to any right to collect damages.</w:t>
        <w:br/>
        <w:t xml:space="preserve">  p.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Xxxxx’s consent, the Company hereby covenants and agrees that such Buyer shall not have any duty of confidentiality to the Company, any of its Subsidiaries, or any of their respective officers, directors, agents, employees or affiliates, not to trade on the basis of, such material, non- 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the information is disclosed to the Buyer and ending and including the day the Form 8-K disclosing this information is filed.</w:t>
        <w:br/>
        <w:t xml:space="preserve">  13</w:t>
        <w:br/>
        <w:t xml:space="preserve">    q. D&amp;O Insurance. The Company shall maintain director and officer insurance on behalf of the Company's (including its subsidiary) officers and directors for a period of 18 months after the Closing with respect to any losses, claims, damages, liabilities, costs and expense in connection with any actual or threatened claim or proceeding that is based on, or arises out of their status as a director or officer of the Company. The insurance policy shall provide for two years of tail coverage.</w:t>
        <w:br/>
        <w:t xml:space="preserve">  r. Shareholder Approval; Prohibition on Issuance. “Shareholder Approval” means the approval of a sufficient amount of holders of the Company’s Common Stock to satisfy the shareholder approval requirements to effectuate the transactions contemplated by the Agreement, including the issuance of all of the Common Stock underlying the Note, Common Stock underlying the Warrants, and Commitment Shares, in excess of 19.99% of the issued and outstanding Common Stock on the Closing Date (the “Exchange Cap”). The Exchange Cap is equal to 3,074,792 shares of Common Stock, which number of shares shall be reduced, on a share-for-share basis, by the number of shares of Common Stock issued or issuable pursuant to any transaction or series of transactions that may be aggregated with the transactions contemplated by this Agreement under applicable rules of the NYSE American LLC (subject to appropriate adjustment for any stock dividend, stock split, stock combination, rights offerings, reclassification or similar transaction that proportionately decreases or increases the Common Stock). The Company shall hold a meeting of shareholders on or before the date that is six (6) months after the date of this Agreement, for the purpose of obtaining Shareholder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 In addition, all members of the Company’s Board of Directors and all of the Company’s executive officers shall vote in favor of such proposal, for purposes of obtaining the Shareholder Approval, with respect to all securities of the Company then held by such persons. The Company shall use its commercially reasonable efforts to obtain such Shareholder Approval. If the Company does not obtain Shareholder Approval at the first meeting, the Company shall call a meeting as often as possible thereafter to seek Shareholder Approval until the Shareholder Approval is obtained. Until the Shareholder Approval becomes effective pursuant to the rules promulgated under the 1934 Act, the Company shall not hold any meeting of its shareholders unless the Company also includes a proposal for obtaining the Shareholder Approval in such meeting. Until such approval is obtained, the Buyer shall not be issued in the aggregate, pursuant to the Agreement or upon conversion of the Note or exercise of the Warrants, shares of Common Stock in an amount greater than the Exchange Cap except as otherwise provided in the Note or the Warrants.  In the event that the Buyer shall sell or otherwise transfer any of such Buyer's Note or Warrants, the transferee shall be allocated a pro rata portion of such Exchange Cap, and the restrictions of the prior sentence shall apply to such transferee with respect to the portion of the Exchange Cap allocated to such transferee.</w:t>
        <w:br/>
        <w:t xml:space="preserve">  s. No Broker-Dealer Acknowledgement.   Absent a final adjudication from a court of competent jurisdiction stating otherwise, the Company shall not to any person, institution, governmental or other entity, state, claim, allege, or in any way assert, that Buyer is currently, or ever has been, a broker-dealer under the Securities Exchange Act of 1934.</w:t>
        <w:br/>
        <w:t xml:space="preserve">  t. Subsequent Securities Sales. In addition to all other restrictions on the issuance of securities by the Company as provided in this Agreement, from the date of this Agreement through the date that is thirty (30) calendar days after the date of this Agreement, neither the Company nor any Subsidiary shall issue, enter into any agreement to issue, or announce the issuance or proposed issuance of any shares of Common Stock or Common Stock Equivalents except with respect to the Securities. This Section 4(t) of this Agreement shall not apply to any Excluded Issuance.</w:t>
        <w:br/>
        <w:t xml:space="preserve">  u. Amendment of Prior Transactions. The Company shall not amend or alter the provisions or terms of any debt or Common Stock Equivalents (including but not limited to any warrants exercisable into Common Stock and promissory notes convertible into Common Stock) of the Company issued on or prior to the date of this Agreement without the express written consent of the Buyer.</w:t>
        <w:br/>
        <w:t xml:space="preserve">  v. Breach of Covenants. The Company acknowledges and agrees that if the Company breaches any of the covenants set forth in this Section 4, in addition to any other remedies available to the Buyer pursuant to this Agreement, it will be considered an Event of Default under Section 3.3 of the Note.</w:t>
        <w:br/>
        <w:t xml:space="preserve">  14</w:t>
        <w:br/>
        <w:t xml:space="preserve">    5. Transfer Agent Instructions. The Company shall issue irrevocable instructions to the Company’s transfer agent to issue certificates and/or issue shares electronically at the Buyer’s option, registered in the name of the Buyer or its nominee, upon conversion of the Note and/or exercise of the Warrants, the Conversion Shares and Exercise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 shares of Common Stock in the Reserved Amount (as defined in the Note)) signed by the successor transfer agent to the Company and the Company. Prior to registration of the Conversion Shares and/or Exercise Shares under the 1933 Act or the date on which the Conversion Shares and/or Exercise Shares may be sold pursuant to Rule 144, Rule 144A, Regulation S, or other applicable exemption without any restriction as to the number of Securities as of a particular date that can then be immediately sold, all such certificates or book entry shares shall bear the restrictive legend specified in Section 2(g) of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and/or hinder its transfer agent in transferring (or issuing)(electronically or in certificated form) any certificate for Securities to be issued to the Buyer upon conversion of or otherwise pursuant to the Note and/or upon exercise of or otherwise pursuant to the Warrants as and when required by the Note and this Agreement; (iii) it will not fail to remove (or directs its transfer agent not to remove or impairs, delays, and/or hinders its transfer agent from removing) any restrictive legend (or to withdraw any stop transfer instructions in respect thereof) on any certificate for any Securities issued to the Buyer upon conversion of or otherwise pursuant to the Note and/or upon exercise of or otherwise pursuant to the Warrants as and when required by the Note, Warrants, and/or this Agreement and (iv) it will provide any required corporate resolutions and issuance approvals to its transfer agent within 6 hours of notice prior to 9:30 a.m. Eastern Time, or one (1) business day of notice after such time, of each conversion of the Note and/or exercise of the Warrants. Nothing in this Section shall affect in any way the Buyer’s obligations and agreement set forth in Section 2(g) hereof to comply with all applicable prospectus delivery requirements, if any, upon re-sale of the Securities. If the Buyer provides the Company, at the cost of the Company,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144, Rule 144A, Regulation S, or other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br/>
        <w:t xml:space="preserve">  6. Conditions to the Company’s Obligation to Sell. The obligation of the Company hereunder to issue and sell the Note to the Buyer at the Closing is subject to the satisfaction, at or before the Closing Date, of each of the following conditions thereto, provided that these conditions are for the Company’s sole benefit and may be waived by the Company at any time in its sole discretion:</w:t>
        <w:br/>
        <w:t xml:space="preserve">  a. The Buyer shall have executed this Agreement and the Security Agreement, Registration Rights Agreement, and delivered the same to the Company.</w:t>
        <w:br/>
        <w:t xml:space="preserve">  b. The Buyer shall have delivered the Purchase Price in accordance with Section 1(b) above.</w:t>
        <w:br/>
        <w:t xml:space="preserve">  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br/>
        <w:t xml:space="preserve">  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15</w:t>
        <w:br/>
        <w:t xml:space="preserve">    7. Conditions to The Buyer’s Obligation to Purchase. The obligation of the Buyer hereunder to purchase the Note, on the Closing Date, is subject to the satisfaction, at or before the Closing Date, of each of the following conditions, provided that these conditions are for the Buyer’s sole benefit and may be waived by the Buyer at any time in its sole discretion:</w:t>
        <w:br/>
        <w:t xml:space="preserve">  a. The Company shall have executed this Agreement and the Security Agreement, the Registration Rights Agreement, and delivered the same to the Buyer.</w:t>
        <w:br/>
        <w:t xml:space="preserve">  b. The Company shall have delivered to the Buyer the duly executed Note in such denominations as the Buyer shall request and in accordance with Section 1(b) above.</w:t>
        <w:br/>
        <w:t xml:space="preserve">  c. The Company shall have delivered to the Buyer the Warrants and the Commitment Shares.</w:t>
        <w:br/>
        <w:t xml:space="preserve">  d. The Irrevocable Transfer Agent Instructions, in form and substance satisfactory to the Buyer, shall have been delivered to and acknowledged in writing by the Company’s Transfer Agent.</w:t>
        <w:br/>
        <w:t xml:space="preserve">  e.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br/>
        <w:t xml:space="preserve">  f.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br/>
        <w:t xml:space="preserve">  g.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br/>
        <w:t xml:space="preserve">  h. Trading in the Common Stock on the Principal Market shall not have been suspended by the SEC, FINRA or the Principal Market.</w:t>
        <w:br/>
        <w:t xml:space="preserve">  i. The Company shall have delivered to the Buyer (i) a certificate evidencing the formation and good standing of the Company and each of its Subsidiaries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br/>
        <w:t xml:space="preserve">  j. The Company shall have delivered to the Buyer a legal opinion from the Company’s counsel covering the transactions contemplated by the Transaction Documents in a form acceptable to the Buyer.</w:t>
        <w:br/>
        <w:t xml:space="preserve">  16</w:t>
        <w:br/>
        <w:t xml:space="preserve">    8. Governing Law; Miscellaneous.</w:t>
        <w:br/>
        <w:t xml:space="preserve">  a. Arbitration of Claims; Governing Law; Venue. The Company and Buyer shall submit all Claims (as defined in Exhibit E of this Purchase Agreement) (the “Claims”) arising under this Agreement or any other agreement between the Company and Buyer or their respective affiliates (including but not limited to the Transaction Documents) or any Claim relating to the relationship of the Company and Buyer or their respective affiliates to binding arbitration pursuant to the arbitration provisions set forth in Exhibit E of the Purchase Agreement (the “Arbitration Provisions”). The Company and Buyer hereby acknowledge and agree that the Arbitration Provisions are unconditionally binding on the Company and Buyer hereto and are severable from all other provisions of this Agreement. By executing this Agreement, Company represents, warrants and covenants that Company has reviewed the Arbitration Provisions carefully, consulted with legal counsel about such provisions (or waived its right to do so), understands that the Arbitration Provisions are intended to allow for the expeditious and efficient resolution of any dispute hereunder, agrees to the terms and limitations set forth in the Arbitration Provisions, and that Company will not take a position contrary to the foregoing representations. Company acknowledges and agrees that Xxxxx may rely upon the foregoing representations and covenants of Company regarding the Arbitration Provisions.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and Buyer consent to and expressly agree that the exclusive venue for arbitration of any Claims arising under this Agreement or any other agreement between the Company and Buyer or their respective affiliates (including but not limited to the Transaction Documents) or any Claim relating to the relationship of the Company and Buyer or their respective affiliates shall be in the State of Delaware. Without modifying the Company’s and Xxxxx’s mandatory obligations to resolve disputes hereunder pursuant to the Arbitration Provisions, for any litigation arising in connection with any of the Transaction Documents (and notwithstanding the terms (specifically including any governing law and venue terms) of any transfer agent services agreement or other agreement between the Company’s transfer agent and the Company, such litigation specifically includes, without limitation any action between or involving Company and the Company’s transfer agent under the Irrevocable Transfer Agent Instructions or otherwise related to Buyer in any way (specifically including, without limitation, any action where Company seeks to obtain an injunction, temporary restraining order, or otherwise prohibit the Company’s transfer agent from issuing shares of Common Stock to Buyer for any reason)), each party hereto hereby (i) consents to and expressly submits to the exclusive personal jurisdiction of any state or federal court sitting in the State of Delaware, (ii) expressly submits to the exclusive venue of any such court for the purposes hereof, (iii) agrees to not bring any such action (specifically including, without limitation, any action where Company seeks to obtain an injunction, temporary restraining order, or otherwise prohibit the Company’s transfer agent from issuing shares of Common Stock to Buyer for any reason) outside of any state or federal court sitting in the State of Delaware, and (iv) waives any claim of improper venue and any claim or objection that such courts are an inconvenient forum or any other claim, defense or objection to the bringing of any such proceeding in such jurisdiction or to any claim that such venue of the suit, action or proceeding is improper. Notwithstanding anything in the foregoing to the contrary, nothing herein shall limit, or shall be deemed or construed to limit, the ability of the Buyer to realize on any collateral or any other security, or to enforce a judgment or other court ruling in favor of the Buyer, including through a legal action in any court of competent jurisdiction.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AGREEMENT OR ANY TRANSACTIONS CONTEMPLATED HEREBY. The Company irrevocably waives personal service of process and consents to process being served in any suit, action or proceeding in connection with this Agreement or any other agreement, certificate, instrument or document contemplated hereby or thereby by mailing a copy thereof via registered or certified mail or overnight delivery (with evidence of delivery) to Company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Agreement or any other agreement, certificate, instrument or document contemplated hereby or thereby shall be entitled to recover from the other party its reasonable attorney’s fees and costs.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br/>
        <w:t xml:space="preserve">  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br/>
        <w:t xml:space="preserve">  17</w:t>
        <w:br/>
        <w:t xml:space="preserve">    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br/>
        <w:t xml:space="preserve">  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br/>
        <w:t xml:space="preserve">  f.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t xml:space="preserve">  If to the Company, to:</w:t>
        <w:br/>
        <w:t xml:space="preserve">  SIGNING DAY SPORTS, INC.</w:t>
        <w:br/>
        <w:t>0000 Xxxx Xxxxxxxx Xx., Xxxxx 000</w:t>
        <w:br/>
        <w:t>Scottsdale, AZ 85255</w:t>
        <w:br/>
        <w:t>Attention: Xxxxxx Xxxxxx</w:t>
        <w:br/>
        <w:t>e-mail: xxxxx.xxxxxx@xxxxxxxxxxxxxxxx.xxx</w:t>
        <w:br/>
        <w:t xml:space="preserve">  If to the Buyer:</w:t>
        <w:br/>
        <w:t xml:space="preserve">  FIRSTFIRE GLOBAL OPPORTUNITIES FUND, LLC</w:t>
        <w:br/>
        <w:t>0000 Xxxxx Xxxxxx, Xxxxx 000</w:t>
        <w:br/>
        <w:t>New York, NY 10022</w:t>
        <w:br/>
        <w:t>e-mail: xxx@xxxxxxxxxxxxxxxx.xxx</w:t>
        <w:br/>
        <w:t xml:space="preserve">  g. Successors and Assigns. This Agreement shall be binding upon and inure to the benefit of the parties and their successors and assigns. The Company shall not assign this Agreement or any rights or obligations hereunder without the prior written consent of the Buyer. The Buyer may assign its rights hereunder to any “accredited investor” (as defined in Rule 501(a) of the 1933 Act) in a private transaction from the Buyer or to any of its “affiliates,” as that term is defined under the 1934 Act, without the consent of the Company.</w:t>
        <w:br/>
        <w:t xml:space="preserve">  h. Third Party Beneficiaries. This Agreement is intended for the benefit of the parties hereto and their respective permitted successors and assigns, and is not for the benefit of, nor may any provision hereof be enforced by, any other person.</w:t>
        <w:br/>
        <w:t xml:space="preserve">  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br/>
        <w:t xml:space="preserve">  18</w:t>
        <w:br/>
        <w:t xml:space="preserve">    j. Publicity. The Company and the Buyer shall have the right to review a reasonable period of time before issuance of any press releases or SEC filings, or any other public statements with respect to the transactions contemplated hereby; provided, however, that the Company shall be entitled, without the prior approval of the Buyer, to make any press release or SEC filings with respect to such transactions as is required by applicable law and regulations (although the Buyer shall be consulted by the Company in connection with any press release prior to its release and shall be provided with a copy thereof and be given an opportunity to comment thereon).</w:t>
        <w:br/>
        <w:t xml:space="preserve">  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l. No Strict Construction. The language used in this Agreement will be deemed to be the language chosen by the parties to express their mutual intent, and no rules of strict construction will be applied against any party.</w:t>
        <w:br/>
        <w:t xml:space="preserve">  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br/>
        <w:t xml:space="preserve">  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the Note, the Warrants, or any other agreement, certificate, instrument or document contemplated hereby or thereby will be inadequate and agrees, in the event of a breach or threatened breach by the Company of the provisions of this Agreement, the Note, the Warrants, or any other agreement, certificate, instrument or document contemplated hereby or thereby, that the Buyer shall be entitled, in addition to all other available remedies at law or in equity, and in addition to the penalties assessable herein, to an injunction or injunctions restraining, preventing or curing any breach of this Agreement, the Note, the Warrants, or any other agreement, certificate, instrument or document contemplated hereby or thereby, and to enforce specifically the terms and provisions hereof and thereof, without the necessity of showing economic loss and without any bond or other security being required.</w:t>
        <w:br/>
        <w:t xml:space="preserve">  19</w:t>
        <w:br/>
        <w:t xml:space="preserve">    o. Payment Set Aside. To the extent that the (i) Company makes a payment or payments to the Buyer hereunder, pursuant to the Note, pursuant to the Warrants, or pursuant to any other agreement, certificate, instrument or document contemplated hereby or thereby, or (ii) the Buyer enforces or exercises its rights hereunder, pursuant to the Note, pursuant to the Warrants, or pursuant to any other agreement, certificate, instrument or document contemplated hereby or thereby, and such payment or payments or the proceeds of such enforcement or exercise or any part thereof (including but not limited to the sale of the Securities) are for any reason (i) subsequently invalidated, declared to be fraudulent or preferential, set aside, recovered from, or disgorged by the Buyer, or (ii) are required to be refunded, repaid or otherwise restored to the Company, a trustee, receiver, government entity, or any other person or entity under any law (including, without limitation, any bankruptcy law, foreign, state or federal law, common law or equitable cause of action), then (i) to the extent of any such restoration the obligation or part thereof originally intended to be satisfied shall be revived and continued in full force and effect as if such payment had not been made or such enforcement or setoff had not occurred and (ii) the Company shall immediately pay to the Buyer a dollar amount equal to the amount that was for any reason (i) subsequently invalidated, declared to be fraudulent or preferential, set aside, recovered from, or disgorged by the Buyer, or (ii) required to be refunded, repaid or otherwise restored to the Company, a trustee, receiver, government entity, or any other person or entity under any law (including, without limitation, any bankruptcy law, foreign, state or federal law, common law or equitable cause of action).</w:t>
        <w:br/>
        <w:t xml:space="preserve">  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w:t>
        <w:br/>
        <w:t xml:space="preserve">  q. Electronic Signature. This Agreement may be executed and delivered in one or more counterparts (including by facsimile or electronic mail or in .pdf or any other form of electronic delivery (including any electronic signature complying with U.S. federal ESIGN Act of 2000)) and by different parties in separate counterparts, with the same effect as if all parties hereto had signed the same document. All counterparts so executed and delivered shall be construed together and shall constitute one and the same agreement.</w:t>
        <w:br/>
        <w:t xml:space="preserve">  [Signature Page Follows]</w:t>
        <w:br/>
        <w:t xml:space="preserve">  20</w:t>
        <w:br/>
        <w:t xml:space="preserve">    IN WITNESS WHEREOF, the undersigned Buyer and the Company have caused this Agreement to be duly executed as of the date first above written.</w:t>
        <w:br/>
        <w:t xml:space="preserve">  SIGNING DAY SPORTS, INC.  </w:t>
        <w:br/>
        <w:t xml:space="preserve">    By: /s/ Xxxxxx Xxxxxx  </w:t>
        <w:br/>
        <w:t xml:space="preserve">  Name: XXXXXX XXXXXX  </w:t>
        <w:br/>
        <w:t xml:space="preserve">  Title: CHIEF EXECUTIVE OFFICER  </w:t>
        <w:br/>
        <w:t xml:space="preserve">    FIRSTFIRE GLOBAL OPPORTUNITIES FUND, LLC  </w:t>
        <w:br/>
        <w:t xml:space="preserve">    By: FirstFire Capital Management LLC, its manager  </w:t>
        <w:br/>
        <w:t xml:space="preserve">    By: /s/ Xxx Xxxxxxx  </w:t>
        <w:br/>
        <w:t xml:space="preserve">  Name: XXX XXXXXXX  </w:t>
        <w:br/>
        <w:t xml:space="preserve">  21</w:t>
        <w:br/>
        <w:t xml:space="preserve">    EXHIBIT A</w:t>
        <w:br/>
        <w:t xml:space="preserve">  FORM OF NOTE</w:t>
        <w:br/>
        <w:t xml:space="preserve">  [attached hereto]</w:t>
        <w:br/>
        <w:t xml:space="preserve">   22</w:t>
        <w:br/>
        <w:t xml:space="preserve">    EXHIBIT B</w:t>
        <w:br/>
        <w:t xml:space="preserve">  PIGGY-BACK REGISTRATION RIGHTS</w:t>
        <w:br/>
        <w:t xml:space="preserve">  All of the Conversion Shares, Exercise Shares, and Commitment Shares shall be deemed “Registrable Securities” subject to the provisions of this Exhibit B. All capitalized terms used but not defined in this Exhibit B shall have the meanings ascribed to such terms in the Securities Purchase Agreement to which this Exhibit is attached.</w:t>
        <w:br/>
        <w:t xml:space="preserve">  1. Piggy-Back Registration.</w:t>
        <w:br/>
        <w:t xml:space="preserve">  1.1 Piggy-Back Rights. If at any time on or after the date of the Closing the Company proposes to file any Registration Statement under the 1933 Act (a “Registration Statement”) with respect to any offering of equity securities, or securities or other obligations exercisable or exchangeable for, or convertible into, equity securities, by the Company for its own account or for shareholders of the Company for their account (or by the Company and by shareholders of the Company), other than a Registration Statement (i) filed in connection with any employee stock option or other benefit plan on Form S-8, (ii) for a dividend reinvestment plan or (iii) in connection with a merger or acquisition, then the Company shall (x) give written notice of such proposed filing to the holders of Registrable Securities appearing on the books and records of the Company as such a holder as soon as practicable but in no event less than ten (10) days before the anticipated filing date of the Registration Statement, which notice shall describe the amount and type of securities to be included in such Registration Statement, the intended method(s) of distribution, and the name of the proposed managing underwriter or underwriters, if any, of the offering, and (y) offer to the holders of Registrable Securities in such notice the opportunity to register the sale of such number of Registrable Securities as such holders may request in writing within three (3) days following receipt of such notice (a “Piggy-Back Registration”). The Company shall cause such Registrable Securities to be included in such registration and shall cause the managing underwriter or underwriters of a proposed underwritten offering to permit the Registrable Securities requested to be included in a Piggy-Back Registration on the same terms and conditions as any similar securities of the Company and to permit the sale or other disposition of such Registrable Securities in accordance with the intended method(s) of distribution thereof (with the understanding that the Company shall file the initial prospectus covering the Buyer’s sale of the Registrable Securities at prevailing market prices on the same date that the Registration Statement is declared effective by the SEC).</w:t>
        <w:br/>
        <w:t xml:space="preserve">  1.2 Withdrawal. Any holder of Registrable Securities may elect to withdraw such xxxxxx’s request for inclusion of Registrable Securities in any Piggy-Back Registration by giving written notice to the Company of such request to withdraw prior to the effectiveness of the Registration Statement. The Company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the Company shall pay all expenses incurred by the holders of Registrable Securities in connection with such Piggy-Back Registration as provided in Section 1.5 below.</w:t>
        <w:br/>
        <w:t xml:space="preserve">  1.3 The Company shall notify the holders of Registrable Securities at any time when a prospectus relating to such holder’s Registrable Securities is required to be delivered under the 1933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then existing. At the request of such holder, the Company shall also prepare, file and furnish to such holder a reasonable number of copies of a supplement to or an amendment of such prospectus as may be necessary so that, as thereafter delivered to the purchasers of the Registrable Securities, such prospectus shall not include an untrue statement of a material fact or omit to state a material fact required to be stated therein or necessary to make the statements therein not misleading in light of the circumstances then existing. The holders of Registrable Securities shall not to offer or sell any Registrable Securities covered by the Registration Statement after receipt of such notification until the receipt of such supplement or amendment.</w:t>
        <w:br/>
        <w:t xml:space="preserve">  23</w:t>
        <w:br/>
        <w:t xml:space="preserve">    1.4 The Company may request a holder of Registrable Securities to furnish the Company such information with respect to such holder and such holder’s proposed distribution of the Registrable Securities pursuant to the Registration Statement as the Company may from time to time reasonably request in writing or as shall be required by law or by the SEC in connection therewith, and such holders shall furnish the Company with such information.</w:t>
        <w:br/>
        <w:t xml:space="preserve">  1.5 All fees and expenses incident to the performance of or compliance with this Exhibit B by the Company shall be borne by the Company whether or not any Registrable Securities are sold pursuant to a Registration Statement. The fees and expenses referred to in the foregoing sentence shall include, without limitation, (i) all registration and filing fees (including, without limitation, fees and expenses of the Company’s counsel and independent registered public accountants) (A) with respect to filings made with the SEC, (B) with respect to filings required to be made with any trading market on which the Common Stock is then listed for trading, (C) in compliance with applicable state securities or Blue Sky laws reasonably agreed to by the Company in writing (including, without limitation, fees and disbursements of counsel for the Company in connection with Blue Sky qualifications or exemptions of the Registrable Securities) and (D) with respect to any filing that may be required to be made by any broker through which a holder of Registrable Securities intends to make sales of Registrable Securities with the FINRA, (ii) printing expenses, (iii) messenger, telephone and delivery expenses, (iv) fees and disbursements of counsel for the Company, (v) 1933 Act liability insurance, if the Company so desires such insurance, (vi) fees and expenses of all other persons or entities retained by the Company in connection with the consummation of the transactions contemplated by this Exhibit B and (vii) reasonable fees and disbursements of a single special counsel for the holders of Registrable Securities (selected by holders of the majority of the Registrable Securities requesting such registration). In addition, the Company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the Company be responsible for any broker or similar commissions of any holder of Registrable Securities.</w:t>
        <w:br/>
        <w:t xml:space="preserve">  1.6 The Company and its successors and assigns shall indemnify and hold harmless the Buyer, each holder of Registrable Securities, the officers, directors, members, partners, agents and employees (and any other individuals or entities with a functionally equivalent role of a person holding such titles, notwithstanding a lack of such title or any other title) of each of them, each individual or entity who controls the Buyer or any such holder of Registrable Securities (within the meaning of Section 15 of the 1933 Act or Section 20 of the 1934 Act) and the officers, directors, members, stockholders, partners, agents and employees (and any other individuals or entities with a functionally equivalent role of a person holding such titles, notwithstanding a lack of such title or any other title) of each such controlling individual or entity (each, an “Indemnified Party”), to the fullest extent permitted by applicable law, from and against any and all losses, claims, damages, liabilities, costs (including, without limitation, reasonable attorneys’ fees) and expenses (collectively,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the Company of the 1933 Act, the 1934 Act or any state securities law, or any rule or regulation thereunder, in connection with the performance of its obligations under this Exhibit B, except to the extent, but only to the extent, that (i) such untrue statements or omissions are based upon information regarding the Buyer or such holder of Registrable Securities furnished to the Company by such party for use therein. The Company shall notify the Buyer and each holder of Registrable Securities promptly of the institution, threat or assertion of any proceeding arising from or in connection with the transactions contemplated by this Exhibit B of which the Company is aware.</w:t>
        <w:br/>
        <w:t xml:space="preserve">  1.7 If the indemnification under Section 1.6 is unavailable to an Indemnified Party or insufficient to hold an Indemnified Party harmless for any Losses, then the Company shall contribute to the amount paid or payable by such Indemnified Party, in such proportion as is appropriate to reflect the relative fault of the Company and Indemnified Party in connection with the actions, statements or omissions that resulted in such Losses as well as any other relevant equitable considerations. The relative fault of the Company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the Company or the Indemnified Party, and the parties’ relative intent, knowledge, access to information and opportunity to correct or prevent such action, statement or omission. The amount paid or payable by a party as a result of any Losses shall be deemed to include any reasonable attorneys’ or other fees or expenses incurred by such party in connection with any proceeding to the extent such party would have been indemnified for such fees or expenses if the indemnification provided for in Section 1.6 was available to such party in accordance with its terms. It is agreed that it would not be just and equitable if contribution pursuant to this Section 1.7 were determined by pro rata allocation or by any other method of allocation that does not take into account the equitable considerations referred to in the immediately preceding sentence. Notwithstanding the provisions of this Section 1.7, neither the Buyer nor any holder of Registrable Securities shall be required to contribute, in the aggregate, any amount in excess of the amount by which the net proceeds actually received by such party from the sale of all of their Registrable Securities pursuant to such Registration Statement or related prospectus exceeds the amount of any damages that such party has otherwise been required to pay by reason of such untrue or alleged untrue statement or omission or alleged omission.</w:t>
        <w:br/>
        <w:t xml:space="preserve">  [End of Exhibit B]</w:t>
        <w:br/>
        <w:t xml:space="preserve">  24</w:t>
        <w:br/>
        <w:t xml:space="preserve">    EXHIBIT C</w:t>
        <w:br/>
        <w:t xml:space="preserve">  FORM OF SECURITY AGREEMENT</w:t>
        <w:br/>
        <w:t xml:space="preserve">  [attached hereto]</w:t>
        <w:br/>
        <w:t xml:space="preserve">  25</w:t>
        <w:br/>
        <w:t xml:space="preserve">    EXHIBIT D</w:t>
        <w:br/>
        <w:t xml:space="preserve">  FORM OF REGISTRATION RIGHTS AGREEMENT</w:t>
        <w:br/>
        <w:t xml:space="preserve">  [attached hereto]</w:t>
        <w:br/>
        <w:t xml:space="preserve">  26</w:t>
        <w:br/>
        <w:t xml:space="preserve">    EXHIBIT E</w:t>
        <w:br/>
        <w:t xml:space="preserve">  ARBITRATION PROVISIONS</w:t>
        <w:br/>
        <w:t xml:space="preserve">  1. Dispute Resolution. Each party consents to and expressly agrees that the exclusive venue for arbitration of any dispute arising out of or relating to any of the Transaction Documents or the relationship of the parties or their affiliates shall be in the State of Delaware. For purposes of this Exhibit E, the term “Claims” means any disputes, claims, demands, causes of action, requests for injunctive relief, requests for specific performance, questions regarding severability of any provisions of the Transaction Documents, liabilities, damages, losses, or controversies whatsoever arising from, related to, or connected with the transactions contemplated in the Transaction Documents and any communications between the parties related thereto, including without limitation any claims of mutual mistake, mistake, fraud, misrepresentation, failure of formation, failure of consideration, promissory estoppel, unconscionability, failure of condition precedent, rescission, and any statutory claims, tort claims, contract claims, or claims to void, invalidate or terminate the Agreement (or these Arbitration Provisions (defined below)) or any of the other Transaction Documents. The term “Claims” specifically excludes a dispute over the Warrant Calculations (as defined in the Warrants) and Note Calculations (as defined in the Note), and the parties hereby acknowledge and agree that a dispute over any Warrant Calculations (as defined in the Warrants) or Note Calculations (as defined in the Note) shall be resolved by the parties as expressly provided for in the Warrants and Note respectively. The parties to this Agreement (the “parties”) hereby agree that the Claims may be arbitrated in one or more Arbitrations pursuant to these Arbitration Provisions (one for an injunction or injunctions and a separate one for all other Claims). The parties hereby agree that the arbitration provisions set forth in this Exhibit E (“Arbitration Provisions”) are binding on each of them. As a result, any attempt to rescind the Agreement (or these Arbitration Provisions) or any other Transaction Document) or declare the Agreement (or these Arbitration Provisions) or any other Transaction Document invalid or unenforceable pursuant to Section 29 of the 1934 Act or for any other reason is subject to these Arbitration Provisions. These Arbitration Provisions shall also survive any termination or expiration of the Agreement. Any capitalized term not defined in these Arbitration Provisions shall have the meaning set forth in the Agreement.</w:t>
        <w:br/>
        <w:t xml:space="preserve">  2. Arbitration. Except as otherwise provided herein, all Claims must be submitted to arbitration (“Arbitration”) to be conducted exclusively in the State of Delaware and pursuant to the terms set forth in these Arbitration Provisions. Subject to the arbitration appeal right provided for in Paragraph 5 below (the “Appeal Right”), the parties agree that the award of the arbitrator rendered pursuant to Paragraph 4 below (the “Arbitration Award”) shall be (a) final and binding upon the parties, (b) the sole and exclusive remedy between them regarding any Claims, counterclaims, issues, or accountings presented or pleaded to the arbitrator, and (c) promptly payable in United States dollars free of any tax, deduction or offset (with respect to monetary awards). Subject to the Appeal Right, any costs or fees, including without limitation attorneys’ fees, incurred in connection with or incident to enforcing the Arbitration Award shall, to the maximum extent permitted by law, be charged against the party resisting such enforcement. The Arbitration Award shall include Default Interest (as defined or otherwise provided for in the Note, “Default Interest”) (with respect to monetary awards) at the rate specified in the Note for Default Interest both before and after the Arbitration Award. Judgment upon the Arbitration Award will be entered and enforced by any state or federal court sitting in the State of Delaware.</w:t>
        <w:br/>
        <w:t xml:space="preserve">  3. The Arbitration Act. The parties hereby incorporate herein the provisions and procedures set forth in the Delaware Uniform Arbitration Act, Title 10 Chapter 57 (as amended or superseded from time to time, the “Arbitration Act”). Notwithstanding the foregoing, pursuant to, and to the maximum extent permitted by, the Arbitration Act, in the event of conflict or variation between the terms of these Arbitration Provisions and the provisions of the Arbitration Act, the terms of these Arbitration Provisions shall control and the parties hereby waive or otherwise agree to vary the effect of all requirements of the Arbitration Act that may conflict with or vary from these Arbitration Provisions.</w:t>
        <w:br/>
        <w:t xml:space="preserve">  4. Arbitration Proceedings. Arbitration between the parties will be subject to the following:</w:t>
        <w:br/>
        <w:t xml:space="preserve">  4.1 Initiation of Arbitration. Pursuant to the Arbitration Act, the parties agree that a party may initiate Arbitration by giving written notice to the other party (“Arbitration Notice”) in the same manner that notice is permitted under Section 8(f) of the Agreement; provided, however, that the Arbitration Notice may not be given by email or fax. Arbitration will be deemed initiated as of the date that the Arbitration Notice is deemed physically delivered to such other party under Section 8(f) of the Agreement (the “Service Date”). After the Service Date, information may be delivered, and notices may be given, by email or fax pursuant to Section 8(f) of the Agreement or any other method permitted thereunder. The Arbitration Notice must describe the nature of the controversy, the remedies sought, and the election to commence Arbitration proceedings. All Claims in the Arbitration Notice must be pleaded consistent with the Delaware Rules of Civil Procedure.</w:t>
        <w:br/>
        <w:t xml:space="preserve">  27</w:t>
        <w:br/>
        <w:t xml:space="preserve">    4.2 Selection and Payment of Arbitrator.</w:t>
        <w:br/>
        <w:t xml:space="preserve">  (a) Within ten (10) calendar days after the Service Date, Buyer shall select and submit to Company the names of three (3) arbitrators that are designated as “neutrals” or qualified arbitrators by American Arbitration Association (“AAA”) (xxxxx://xxx.xxx.xxx/) or other arbitration service provider agreed upon by the parties (such three (3) designated persons hereunder are referred to herein as the “Proposed Arbitrators”). For the avoidance of doubt, each Proposed Arbitrator must be qualified as a “neutral” with AAA or other arbitration service provider agreed upon by the parties. Within five (5) calendar days after Xxxxx has submitted to Company the names of the Proposed Arbitrators, Company must select, by written notice to Buyer, one (1) of the Proposed Arbitrators to act as the arbitrator for the parties under these Arbitration Provisions. If Company fails to select one of the Proposed Arbitrators in writing within such 5-day period, then Buyer may select the arbitrator from the Proposed Arbitrators by providing written notice of such selection to Company.</w:t>
        <w:br/>
        <w:t xml:space="preserve">  (b) If Buyer fails to submit to Company the Proposed Arbitrators within ten (10) calendar days after the Service Date pursuant to subparagraph (a) above, then Company may at any time prior to Buyer so designating the Proposed Arbitrators, identify the names of three (3) arbitrators that are designated as “neutrals” or qualified arbitrators by AAA or other arbitration service provider agreed upon by the parties by written notice to Buyer. Buyer may then, within five (5) calendar days after Company has submitted notice of its Proposed Arbitrators to Buyer, select, by written notice to Company, one (1) of the Proposed Arbitrators to act as the arbitrator for the parties under these Arbitration Provisions. If Xxxxx fails to select in writing and within such 5-day period one (1) of the three (3) Proposed Arbitrators selected by Company, then Company may select the arbitrator from its three (3) previously selected Proposed Arbitrators by providing written notice of such selection to Buyer.</w:t>
        <w:br/>
        <w:t xml:space="preserve">  (c) If a Proposed Arbitrator chosen to serve as arbitrator declines or is otherwise unable to serve as arbitrator, then the party that selected such Proposed Arbitrator may select one (1) of the other three (3) Proposed Arbitrators within three (3) calendar days of the date the chosen Proposed Arbitrator declines or notifies the parties he or she is unable to serve as arbitrator. If all three (3) Proposed Arbitrators decline or are otherwise unable to serve as arbitrator, then the arbitrator selection process shall begin again in accordance with this Paragraph 4.2.</w:t>
        <w:br/>
        <w:t xml:space="preserve">  (d) The date that the Proposed Arbitrator selected pursuant to this Paragraph 4.2 agrees in writing (including via email) delivered to both parties to serve as the arbitrator hereunder is referred to herein as the “Arbitration Commencement Date”. If an arbitrator resigns or is unable to act during the Arbitration, a replacement arbitrator shall be chosen in accordance with this Paragraph 4.2 to continue the Arbitration. If AAA or other arbitration service provider agreed upon by the parties ceases to exist or to provide a list of neutrals and there is no successor thereto, then the arbitrator shall be selected under the then prevailing rules of the American Arbitration Association.</w:t>
        <w:br/>
        <w:t xml:space="preserve">  (e) Subject to Paragraph 4.10 below, the cost of the arbitrator must be paid equally by both parties. Subject to Paragraph 4.10 below, if one party refuses or fails to pay its portion of the arbitrator fee, then the other party can advance such unpaid amount (subject to the accrual of Default Interest thereupon), with such amount being added to or subtracted from, as applicable, the Arbitration Award.</w:t>
        <w:br/>
        <w:t xml:space="preserve">  4.3 Applicability of Certain Delaware Rules. The parties agree that the Arbitration shall be conducted generally in accordance with the Delaware Rules of Civil Procedure and the Delaware Rules of Evidence. More specifically, the Delaware Rules of Civil Procedure shall apply, without limitation, to the filing of any pleadings, motions or memoranda, the conducting of discovery, and the taking of any depositions. The Delaware Rules of Evidence shall apply to any hearings, whether telephonic or in person, held by the arbitrator. Notwithstanding the foregoing, it is the parties’ intent that the incorporation of such rules will in no event supersede these Arbitration Provisions. In the event of any conflict between the Delaware Rules of Civil Procedure or the Delaware Rules of Evidence and these Arbitration Provisions, these Arbitration Provisions shall control.</w:t>
        <w:br/>
        <w:t xml:space="preserve">  4.4 Answer and Default. An answer and any counterclaims to the Arbitration Notice shall be required to be delivered to the party initiating the Arbitration within twenty (20) calendar days after the Arbitration Commencement Date. If an answer is not delivered by the required deadline, the arbitrator must provide written notice to the defaulting party stating that the arbitrator will enter a default award against such party if such party does not file an answer within five (5) calendar days of receipt of such notice. If an answer is not filed within the five (5) day extension period, the arbitrator must render a default award, consistent with the relief requested in the Arbitration Notice, against a party that fails to submit an answer within such time period.</w:t>
        <w:br/>
        <w:t xml:space="preserve">  4.5 [Intentionally Omitted].</w:t>
        <w:br/>
        <w:t xml:space="preserve">  4.6 Discovery. The parties agree that discovery shall be conducted as follows:</w:t>
        <w:br/>
        <w:t xml:space="preserve">  (a) Written discovery will only be allowed if the likely benefits of the proposed written discovery outweigh the burden or expense thereof, and the written discovery sought is likely to reveal information that will satisfy a specific element of a claim or defense already pleaded in the Arbitration. The party seeking written discovery shall always have the burden of showing that all of the standards and limitations set forth in these Arbitration Provisions are satisfied. The scope of discovery in the Arbitration proceedings shall also be limited as follows:</w:t>
        <w:br/>
        <w:t xml:space="preserve">  (i) To facts directly connected with the transactions contemplated by the Agreement.</w:t>
        <w:br/>
        <w:t xml:space="preserve">  (ii) To facts and information that cannot be obtained from another source or in another manner that is more convenient, less burdensome or less expensive than in the manner requested.</w:t>
        <w:br/>
        <w:t xml:space="preserve">  28</w:t>
        <w:br/>
        <w:t xml:space="preserve">    (b) No party shall be allowed (i) more than fifteen (15) interrogatories (including discrete subparts), (ii) more than fifteen (15) requests for admission (including discrete subparts), (iii) more than ten (10) document requests (including discrete subparts), or (iv) more than three (3) depositions (excluding expert depositions) for a maximum of seven (7) hours per deposition. The costs associated with depositions will be borne by the party taking the deposition. The party defending the deposition will submit a notice to the party taking the deposition of the estimated attorneys’ fees that such party expects to incur in connection with defending the deposition. If the party defending the deposition fails to submit an estimate of attorneys’ fees within five (5) calendar days of its receipt of a deposition notice, then such party shall be deemed to have waived its right to the estimated attorneys’ fees. The party taking the deposition must pay the party defending the deposition the estimated attorneys’ fees prior to taking the deposition, unless such obligation is deemed to be waived as set forth in the immediately preceding sentence. If the party taking the deposition believes that the estimated attorneys’ fees are unreasonable, such party may submit the issue to the arbitrator for a decision.</w:t>
        <w:br/>
        <w:t xml:space="preserve">  (c) All discovery requests (including document production requests included in deposition notices) must be submitted in writing to the arbitrator and the other party. The party submitting the written discovery requests must include with such discovery requests a detailed explanation of how the proposed discovery requests satisfy the requirements of these Arbitration Provisions and the Delaware Rules of Civil Procedure. The receiving party will then be allowed, within five (5) calendar days of receiving the proposed discovery requests, to submit to the arbitrator an estimate of the attorneys’ fees and costs associated with responding to such written discovery requests and a written challenge to each applicable discovery request. After receipt of an estimate of attorneys’ fees and costs and/or challenge(s) to one or more discovery requests, consistent with subparagraph (c) above, the arbitrator will within three (3) calendar days make a finding as to the likely attorneys’ fees and costs associated with responding to the discovery requests and issue an order that (i) requires the requesting party to prepay the attorneys’ fees and costs associated with responding to the discovery requests, and (ii) requires the responding party to respond to the discovery requests as limited by the arbitrator within twenty-five (25) calendar days of the arbitrator’s finding with respect to such discovery requests. If a party entitled to submit an estimate of attorneys’ fees and costs and/or a challenge to discovery requests fails to do so within such 5-day period, the arbitrator will make a finding that (A) there are no attorneys’ fees or costs associated with responding to such discovery requests, and (B) the responding party must respond to such discovery requests (as may be limited by the arbitrator) within twenty-five (25) calendar days of the arbitrator’s finding with respect to such discovery requests. Any party submitting any written discovery requests, including without limitation interrogatories, requests for production subpoenas to a party or a third party, or requests for admissions, must prepay the estimated attorneys’ fees and costs, before the responding party has any obligation to produce or respond to the same, unless such obligation is deemed waived as set forth above.</w:t>
        <w:br/>
        <w:t xml:space="preserve">  (d) In order to allow a written discovery request, the arbitrator must find that the discovery request satisfies the standards set forth in these Arbitration Provisions and the Delaware Rules of Civil Procedure. The arbitrator must strictly enforce these standards. If a discovery request does not satisfy any of the standards set forth in these Arbitration Provisions or the Delaware Rules of Civil Procedure, the arbitrator may modify such discovery request to satisfy the applicable standards, or strike such discovery request in whole or in part.</w:t>
        <w:br/>
        <w:t xml:space="preserve">  (e) Each party may submit expert reports (and rebuttals thereto), provided that such reports must be submitted within sixty (60) days of the Arbitration Commencement Date. Each party will be allowed a maximum of two (2) experts. Expert reports must contain the following: (i) a complete statement of all opinions the expert will offer at trial and the basis and reasons for them; (ii) the expert’s name and qualifications, including a list of all the expert’s publications within the preceding ten (10) years, and a list of any other cases in which the expert has testified at trial or in a deposition or prepared a report within the preceding ten (10) years; and (iii) the compensation to be paid for the expert’s report and testimony. The parties are entitled to depose any other party’s expert witness one (1) time for no more than four (4) hours. An expert may not testify in a party’s case-in-chief concerning any matter not fairly disclosed in the expert report.</w:t>
        <w:br/>
        <w:t xml:space="preserve">  4.6 Dispositive Motions. Each party shall have the right to submit dispositive motions pursuant to the Delaware Rules of Civil Procedure (a “Dispositive Motion”). The party submitting the Dispositive Motion may, but is not required to, deliver to the arbitrator and to the other party a memorandum in support (the “Memorandum in Support”) of the Dispositive Motion. Within seven (7) calendar days of delivery of the Memorandum in Support, the other party shall deliver to the arbitrator and to the other party a memorandum in opposition to the Memorandum in Support (the “Memorandum in Opposition”). Within seven (7) calendar days of delivery of the Memorandum in Opposition, as applicable, the party that submitted the Memorandum in Support shall deliver to the arbitrator and to the other party a reply memorandum to the Memorandum in Opposition (“Reply Memorandum”). If the applicable party shall fail to deliver the Memorandum in Opposition as required above, or if the other party fails to deliver the Reply Memorandum as required above, then the applicable party shall lose its right to so deliver the same, and the Dispositive Motion shall proceed regardless.</w:t>
        <w:br/>
        <w:t xml:space="preserve">  29</w:t>
        <w:br/>
        <w:t xml:space="preserve">    4.7 Confidentiality. All information disclosed by either party (or such party’s agents) during the Arbitration process (including without limitation information disclosed during the discovery process or any Appeal (defined below)) shall be considered confidential in nature. Each party agrees not to disclose any confidential information received from the other party (or its agents) during the Arbitration process (including without limitation during the discovery process or any Appeal) unless (a) prior to or after the time of disclosure such information becomes public knowledge or part of the public domain, not as a result of any inaction or action of the receiving party or its agents, (b) such information is required by a court order, subpoena or similar legal duress to be disclosed if such receiving party has notified the other party thereof in writing and given it a reasonable opportunity to obtain a protective order from a court of competent jurisdiction prior to disclosure, or (c) such information is disclosed to the receiving party’s agents, representatives and legal counsel on a need to know basis who each agree in writing not to disclose such information to any third party. The arbitrator is hereby authorized and directed to issue a protective order to prevent the disclosure of privileged information and confidential information upon the written request of either party.</w:t>
        <w:br/>
        <w:t xml:space="preserve">  4.8 Authorization; Xxxxxx; Scheduling Order. Subject to all other portions of these Arbitration Provisions, the parties hereby authorize and direct the arbitrator to take such actions and make such rulings as may be necessary to carry out the parties’ intent for the Arbitration proceedings to be efficient and expeditious. The parties hereby agree that an Arbitration Award must be made within one hundred twenty (120) calendar days after the Arbitration Commencement Date. The arbitrator is hereby authorized and directed to hold a scheduling conference within ten (10) calendar days after the Arbitration Commencement Date in order to establish a scheduling order with various binding deadlines for discovery, expert testimony, and the submission of documents by the parties to enable the arbitrator to render a decision prior to the end of such 120-day period.</w:t>
        <w:br/>
        <w:t xml:space="preserve">  4.9 Relief. The arbitrator shall have the right to award or include in the Arbitration Award (or in a preliminary ruling) any relief which the arbitrator deems proper under the circumstances, including, without limitation, specific performance and injunctive relief, provided that the arbitrator may not award exemplary or punitive damages.</w:t>
        <w:br/>
        <w:t xml:space="preserve">  4.10 Fees and Costs. As part of the Arbitration Award, the arbitrator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(b) reimburse the prevailing party for all reasonable attorneys’ fees, arbitrator costs and fees, deposition costs, other discovery costs, and other expenses, costs or fees paid or otherwise incurred by the prevailing party in connection with the Arbitration.</w:t>
        <w:br/>
        <w:t xml:space="preserve">  5. Arbitration Appeal.</w:t>
        <w:br/>
        <w:t xml:space="preserve">  5.1 Initiation of Appeal. Following the entry of the Arbitration Award, either party (the “Appellant”) shall have a period of thirty (30) calendar days in which to notify the other party (the “Appellee”), in writing, that the Appellant elects to appeal (the “Appeal”) the Arbitration Award (such notice, an “Appeal Notice”) to a panel of arbitrators as provided in Paragraph 5.2 below. The date the Appellant delivers an Appeal Notice to the Appellee is referred to herein as the “Appeal Date”. The Appeal Notice must be delivered to the Appellee in accordance with the provisions of Paragraph 4.1 above with respect to delivery of an Arbitration Notice. In addition, together with delivery of the Appeal Notice to the Appellee, the Appellant must also pay for (and provide proof of such payment to the Appellee together with delivery of the Appeal Notice) a bond in the amount of 110% of the sum the Appellant owes to the Appellee as a result of the Arbitration Award the Appellant is appealing. In the event an Appellant delivers an Appeal Notice to the Appellee (together with proof of payment of the applicable bond) in compliance with the provisions of this Paragraph 5.1, the Appeal will occur as a matter of right and, except as specifically set forth herein, will not be further conditioned. In the event a party does not deliver an Appeal Notice (along with proof of payment of the applicable bond) to the other party within the deadline prescribed in this Paragraph 5.1, such party shall lose its right to appeal the Arbitration Award. If no party delivers an Appeal Notice (along with proof of payment of the applicable bond) to the other party within the deadline described in this Paragraph 5.1, the Arbitration Award shall be final. The parties acknowledge and agree that any Appeal shall be deemed part of the parties’ agreement to arbitrate for purposes of these Arbitration Provisions and the Arbitration Act.</w:t>
        <w:br/>
        <w:t xml:space="preserve">  5.2 Selection and Payment of Appeal Panel. In the event an Appellant delivers an Appeal Notice to the Appellee (together with proof of payment of the applicable bond) in compliance with the provisions of Paragraph 5.1 above, the Appeal will be heard by a three (3) person arbitration panel (the “Appeal Panel”).</w:t>
        <w:br/>
        <w:t xml:space="preserve">  (a) Within ten (10) calendar days after the Appeal Date, the Appellee shall select and submit to the Appellant the names of five (5) arbitrators that are designated as “neutrals” or qualified arbitrators by AAA (xxxxx://xxx.xxx.xxx/) or other arbitration service provider agreed upon by the parties (such five (5) designated persons hereunder are referred to herein as the “Proposed Appeal Arbitrators”). For the avoidance of doubt, each Proposed Appeal Arbitrator must be qualified as a “neutral” with AAA or other arbitration service provider agreed upon by the parties, and shall not be the arbitrator who rendered the Arbitration Award being appealed (the “Original Arbitrator”). Within five (5) calendar days after the Appellee has submitted to the Appellant the names of the Proposed Appeal Arbitrators, the Appellant must select, by written notice to the Appellee, three (3) of the Proposed Appeal Arbitrators to act as the members of the Appeal Panel. If the Appellant fails to select three (3) of the Proposed Appeal Arbitrators in writing within such 5-day period, then the Appellee may select such three (3) arbitrators from the Proposed Appeal Arbitrators by providing written notice of such selection to the Appellant.</w:t>
        <w:br/>
        <w:t xml:space="preserve">  30</w:t>
        <w:br/>
        <w:t xml:space="preserve">    (b) If the Appellee fails to submit to the Appellant the names of the Proposed Appeal Arbitrators within ten (10) calendar days after the Appeal Date pursuant to subparagraph (a) above, then the Appellant may at any time prior to the Appellee so designating the Proposed Appeal Arbitrators, identify the names of five (5) arbitrators that are designated as “neutrals” or qualified arbitrators by AAA or other arbitration service provider agreed upon by the parties (none of whom may be the Original Arbitrator) by written notice to the Appellee. The Appellee may then, within five (5) calendar days after the Appellant has submitted notice of its selected arbitrators to the Appellee, select, by written notice to the Appellant, three (3) of such selected arbitrators to serve on the Appeal Panel. If the Appellee fails to select in writing within such 5-day period three (3) of the arbitrators selected by the Appellant to serve as the members of the Appeal Panel, then the Appellant may select the three (3) members of the Appeal Panel from the Appellant’s list of five (5) arbitrators by providing written notice of such selection to the Appellee.</w:t>
        <w:br/>
        <w:t xml:space="preserve">  (c) If a selected Proposed Appeal Arbitrator declines or is otherwise unable to serve, then the party that selected such Proposed Appeal Arbitrator may select one (1) of the other five (5) designated Proposed Appeal Arbitrators within three (3) calendar days of the date a chosen Proposed Appeal Arbitrator declines or notifies the parties he or she is unable to serve as an arbitrator. If at least three (3) of the five (5) designated Proposed Appeal Arbitrators decline or are otherwise unable to serve, then the Proposed Appeal Arbitrator selection process shall begin again in accordance with this Paragraph 5.2; provided, however, that any Proposed Appeal Arbitrators who have already agreed to serve shall remain on the Appeal Panel.</w:t>
        <w:br/>
        <w:t xml:space="preserve">  (d) The date that all three (3) Proposed Appeal Arbitrators selected pursuant to this Paragraph 5.2 agree in writing (including via email) delivered to both the Appellant and the Appellee to serve as members of the Appeal Panel hereunder is referred to herein as the “Appeal Commencement Date”. No later than five (5) calendar days after the Appeal Commencement Date, the Appellee shall designate in writing (including via email) to the Appellant and the Appeal Panel the name of one (1) of the three (3) members of the Appeal Panel to serve as the lead arbitrator in the Appeal proceedings. Each member of the Appeal Panel shall be deemed an arbitrator for purposes of these Arbitration Provisions and the Arbitration Act, provided that, in conducting the Appeal, the Appeal Panel may only act or make determinations upon the approval or vote of no less than the majority vote of its members, as announced or communicated by the lead arbitrator on the Appeal Panel. If an arbitrator on the Appeal Panel ceases or is unable to act during the Appeal proceedings, a replacement arbitrator shall be chosen in accordance with Paragraph 5.2 above to continue the Appeal as a member of the Appeal Panel. If AAA or other arbitration service provider agreed upon by the parties ceases to exist or to provide a list of neutrals, then the arbitrators for the Appeal Panel shall be selected under the then prevailing rules of the American Arbitration Association.</w:t>
        <w:br/>
        <w:t xml:space="preserve">  (d) Subject to Paragraph 5.7 below, the cost of the Appeal Panel must be paid entirely by the Appellant.</w:t>
        <w:br/>
        <w:t xml:space="preserve">  5.3 Appeal Procedure. The Appeal will be deemed an appeal of the entire Arbitration Award. In conducting the Appeal, the Appeal Panel shall conduct a de novo review of all Claims described or otherwise set forth in the Arbitration Notice. Subject to the foregoing and all other provisions of this Paragraph 5, the Appeal Panel shall conduct the Appeal in a manner the Appeal Panel considers appropriate for a fair and expeditious disposition of the Appeal, may hold one or more hearings and permit oral argument, and may review all previous evidence and discovery, together with all briefs, pleadings and other documents filed with the Original Arbitrator (as well as any documents filed with the Appeal Panel pursuant to Paragraph 5.4(a) below). Notwithstanding the foregoing, in connection with the Appeal, the Appeal Panel shall not permit the parties to conduct any additional discovery or raise any new Claims to be arbitrated, shall not permit new witnesses or affidavits, and shall not base any of its findings or determinations on the Original Arbitrator’s findings or the Arbitration Award.</w:t>
        <w:br/>
        <w:t xml:space="preserve">  5.4 Timing.</w:t>
        <w:br/>
        <w:t xml:space="preserve">  (a) Within seven (7) calendar days of the Appeal Commencement Date, the Appellant (i) shall deliver or cause to be delivered to the Appeal Panel copies of the Appeal Notice, all discovery conducted in connection with the Arbitration, and all briefs, pleadings and other documents filed with the Original Arbitrator (which material Appellee shall have the right to review and supplement if necessary), and (ii) may, but is not required to, deliver to the Appeal Panel and to the Appellee a Memorandum in Support of the Appellant’s arguments concerning or position with respect to all Claims, counterclaims, issues, or accountings presented or pleaded in the Arbitration. Within seven (7) calendar days of the Appellant’s delivery of the Memorandum in Support, as applicable, the Appellee shall deliver to the Appeal Panel and to the Appellant a Memorandum in Opposition to the Memorandum in Support. Within seven (7) calendar days of the Appellee’s delivery of the Memorandum in Opposition, as applicable, the Appellant shall deliver to the Appeal Panel and to the Appellee a Reply Memorandum to the Memorandum in Opposition. If the Appellant shall fail to substantially comply with the requirements of clause (i) of this subparagraph (a), the Appellant shall lose its right to appeal the Arbitration Award, and the Arbitration Award shall be final. If the Appellee shall fail to deliver the Memorandum in Opposition as required above, or if the Appellant shall fail to deliver the Reply Memorandum as required above, then the Appellee or the Appellant, as the case may be, shall lose its right to so deliver the same, and the Appeal shall proceed regardless.</w:t>
        <w:br/>
        <w:t xml:space="preserve">  31</w:t>
        <w:br/>
        <w:t xml:space="preserve">    (b) Subject to subparagraph (a) above, the parties hereby agree that the Appeal must be heard by the Appeal Panel within thirty (30) calendar days of the Appeal Commencement Date, and that the Appeal Panel must render its decision within thirty (30) calendar days after the Appeal is heard (and in no event later than sixty (60) calendar days after the Appeal Commencement Date).</w:t>
        <w:br/>
        <w:t xml:space="preserve">  5.5 Appeal Panel Award. The Appeal Panel shall issue its decision (the “Appeal Panel Award”) through the lead arbitrator on the Appeal Panel. Notwithstanding any other provision contained herein, the Appeal Panel Award shall (a) supersede in its entirety and make of no further force or effect the Arbitration Award (provided that any protective orders issued by the Original Arbitrator shall remain in full force and effect), (b) be final and binding upon the parties, with no further rights of appeal, (c) be the sole and exclusive remedy between the parties regarding any Claims, counterclaims, issues, or accountings presented or pleaded in the Arbitration, and (d) be promptly payable in United States dollars free of any tax, deduction or offset (with respect to monetary awards). Any costs or fees, including without limitation attorneys’ fees, incurred in connection with or incident to enforcing the Appeal Panel Award shall, to the maximum extent permitted by law, be charged against the party resisting such enforcement. The Appeal Panel Award shall include Default Interest (with respect to monetary awards) at the rate specified in the Note for Default Interest both before and after the Arbitration Award. Judgment upon the Appeal Panel Award will be entered and enforced by a state or federal court sitting in the State of Delaware.</w:t>
        <w:br/>
        <w:t xml:space="preserve">  5.6 Relief. The Appeal Panel shall have the right to award or include in the Appeal Panel Award any relief which the Appeal Panel deems proper under the circumstances, including, without limitation, specific performance and injunctive relief, provided that the Appeal Panel may not award exemplary or punitive damages.</w:t>
        <w:br/>
        <w:t xml:space="preserve">  5.7 Fees and Costs. As part of the Appeal Panel Award, the Appeal Panel is hereby directed to require the losing party (the party being awarded the least amount of money by the arbitrator, which, for the avoidance of doubt, shall be determined without regard to any statutory fines, penalties, fees, or other charges awarded to any party) to (a) pay the full amount of any unpaid costs and fees of the Arbitration and the Appeal Panel, and (b) reimburse the prevailing party (the party being awarded the most amount of money by the Appeal Panel, which, for the avoidance of doubt, shall be determined without regard to any statutory fines, penalties, fees, or other charges awarded to any part) the reasonable attorneys’ fees, arbitrator and Appeal Panel costs and fees, deposition costs, other discovery costs, and other expenses, costs or fees paid or otherwise incurred by the prevailing party in connection with the Arbitration (including without limitation in connection with the Appeal).</w:t>
        <w:br/>
        <w:t xml:space="preserve">  6. Miscellaneous.</w:t>
        <w:br/>
        <w:t xml:space="preserve">  6.1 Severability. If any part of these Arbitration Provisions is found to violate or be illegal under applicable law, then such provision shall be modified to the minimum extent necessary to make such provision enforceable under applicable law, and the remainder of the Arbitration Provisions shall remain unaffected and in full force and effect.</w:t>
        <w:br/>
        <w:t xml:space="preserve">  6.2 Governing Law. These Arbitration Provisions shall be governed by the laws of the State of Delaware without regard to the conflict of laws principles therein.</w:t>
        <w:br/>
        <w:t xml:space="preserve">  6.3 Interpretation. The headings of these Arbitration Provisions are for convenience of reference only and shall not form part of, or affect the interpretation of, these Arbitration Provisions.</w:t>
        <w:br/>
        <w:t xml:space="preserve">  6.4 Waiver. No waiver of any provision of these Arbitration Provisions shall be effective unless it is in the form of a writing signed by the party granting the waiver.</w:t>
        <w:br/>
        <w:t xml:space="preserve">  6.5 Time is of the Essence. Time is expressly made of the essence with respect to each and every provision of these Arbitration Provisions.</w:t>
        <w:br/>
        <w:t xml:space="preserve">  [Remainder of page intentionally left blank]</w:t>
        <w:br/>
        <w:t xml:space="preserve">  32</w:t>
        <w:br/>
        <w:t xml:space="preserve">    DISCLOSURE SCHEDULE</w:t>
        <w:br/>
        <w:t>RELATING TO THE SECURITIES PURCHASE</w:t>
        <w:br/>
        <w:t>AGREEMENT, DATED AS OF JUNE 18, 2024</w:t>
        <w:br/>
        <w:t>BETWEEN</w:t>
        <w:br/>
        <w:t>SIGNING DAY SPORTS, INC.</w:t>
        <w:br/>
        <w:t>AND</w:t>
        <w:br/>
        <w:t>FIRSTFIRE GLOBAL OPPORTUNITIES FUND, LLC</w:t>
        <w:br/>
        <w:t xml:space="preserve">  This disclosure schedule is made and given pursuant to Section 3 of the Securities Purchase Agreement, dated as of June 18, 2024 (the “Agreement”), by and between SIGNING DAY SPORTS, INC., a Delaware corporation (the “Company”), and FIRSTFIRE GLOBAL OPPORTUNITIES FUND, LLC, a Delaware limited liability company (the “Buyer”). Unless the context otherwise requires, all capitalized terms are used herein as defined in the Agreement. The numbers below correspond to the section numbers of representations and warranties in the Agreement most directly modified by the below exceptions.</w:t>
        <w:br/>
        <w:t xml:space="preserve">  33</w:t>
        <w:br/>
        <w:t xml:space="preserve">    Section 3(c)</w:t>
        <w:br/>
        <w:t xml:space="preserve">  Capitalization; Governing Documents</w:t>
        <w:br/>
        <w:t xml:space="preserve">  N/A</w:t>
        <w:br/>
        <w:t xml:space="preserve">  34</w:t>
        <w:br/>
        <w:t xml:space="preserve">    Section 3.1(g)</w:t>
        <w:br/>
        <w:t xml:space="preserve">  Ranking; No Conflicts</w:t>
        <w:br/>
        <w:t xml:space="preserve">  Revolving Lins of Credit with Commerce Bank of Arizona</w:t>
        <w:br/>
        <w:t xml:space="preserve">  Under a Business Loan Agreement, dated December 11, 2023 (the “Second CBAZ Loan Agreement”), between the Company and Commerce Bank of Arizona (“CBAZ”), the Company and CBAZ entered into a $2,000,000 secured revolving line of credit (the “Second CBAZ LOC”). In connection with the Second CBAZ LOC, CBAZ issued a promissory note to the Company, dated December 11, 2023 (the “Second CBAZ Promissory Note”), with principal of $2,000,000. The Company paid loan origination and other fees totaling $5,500 and CBAZ immediately disbursed $334,624.85 of the funds in connection with the Second CBAZ LOC for crediting the full prepayment of the balance in that amount outstanding in connection with the First CBAZ LOC. The principal balance under the Second CBAZ Promissory Note bears interest at a fixed rate per annum of 7.21% per annum, and will mature on December 11, 2024.   There is no penalty for prepayment of the Second CBAZ Promissory Note. The Second CBAZ LOC was required to be secured by a 12-month CD Account Number 9000070132 (the “Account”) with CBAZ with an approximate balance of $2,100,000.00 together with (A) all interest, whether now accrued or hereafter accruing; (B) all additional deposits made to the Account; (C) any and all proceeds from the Account; and (D) all renewals, replacements and substitutions for any of the foregoing (the “CD Collateral”) under an Assignment of Deposit Account, dated December 11, 2023, between the Company and CBAZ (the “Assignment of Deposit Account”).</w:t>
        <w:br/>
        <w:t xml:space="preserve">  In connection with the Second CBAZ LOC, the Company agreed to the following negative covenants: (i) incurring any other indebtedness; (ii) permitting other liens on its property, (iii) selling any of its accounts receivable with recourse to any third party; (iv) engaging in substantially different business activities; (v) ceasing operations, engaging in certain corporate transactions, or selling the CD Collateral; or (vi) paying cash dividends on its stock except to pay certain income taxes of stockholders or repurchasing or retiring any of the Company’s outstanding common stock. The following events will constitute a default under the Second CBAZ LOC: (i) the Company fails to comply with the negative covenants described above; (ii) any change in ownership of 25% or more of the common stock of the Company; (iii) a material adverse change in the Company’s financial condition or CBAZ believes the prospect of payment or performance under any loans under the Second CBAZ LOC is impaired; and (iv) other customary events of default including insolvency, foreclosure or forfeiture proceedings, and failure to make payment when due. Any late payments due will be charged 5% of the regularly scheduled payments. Upon an event of default, the interest rate on the Second CBAZ Promissory Note will increase to 13.21%; all indebtedness under the Second CBAZ Promissory Note will become due at the option of CBAZ, except that if an event of default occurs due to an insolvency and certain similar events, the indebtedness will become due immediately automatically; all of CBAZ’s obligations under the Second CBAZ Loan Agreement will terminate; and CBAZ may take any actions permitted under the Assignment of Deposit Account, including application of account proceeds under the CD Collateral to outstanding indebtedness, and use of all rights and remedies of a secured creditor under the Arizona Uniform Commercial Code. The Second CBAZ LOC is also subject to certain other terms and conditions. The outstanding balance under the Second CBAZ LOC was $2,000,000 as of March 31, 2024.  </w:t>
        <w:br/>
        <w:t xml:space="preserve">  See Disclosure Schedule Section 3.1(u).</w:t>
        <w:br/>
        <w:t xml:space="preserve">  35</w:t>
        <w:br/>
        <w:t xml:space="preserve">    Section 3.1(u)</w:t>
        <w:br/>
        <w:t xml:space="preserve">  Titles to Property</w:t>
        <w:br/>
        <w:t xml:space="preserve">  Under the Assignment of Deposit Account, CBAZ holds a security interest in the Account with an approximate balance of $2,100,000.00 together with (A) all interest, whether now accrued or hereafter accruing; (B) all additional deposits made to the Account; (C) any and all proceeds from the Account; and (D) all renewals, replacements and substitutions for any of the foregoing.</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