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AMENDED AND RESTATED SECURITY AGREEMENT</w:t>
        <w:br/>
        <w:t xml:space="preserve">  This Amended and Restated Security Agreement (this “Agreement”), dated as of June 24, 2024, is entered into by VSee Health, Inc. (formerly known as Digital Health Acquisition Corp.), a Delaware corporation (“VSEE”), VSee Lab, Inc., a Delaware corporation (“VSee Lab”) and iDoc Virtual Telehealth Solutions, Inc., a Texas corporation (“iDoc” and together with VSEE and VSee Lab, and including their respective successors and permitted assigns, individually, a “Company” and collectively, the “Companies”) and each of the other entities listed on the signature pages hereof or that becomes a party hereto pursuant to Section 7.7 (together with each Company, the “Grantors”) in favor of Dominion Capital LLC, a Connecticut limited liability company, for itself and as collateral agent (in such capacity and together with any successor and any replacement named in accordance with the Purchase Agreement and/or the Exchange Agreement, the “Collateral Agent”) for the holders (together with the Initial Holders, the “Holders”) of, the senior secured notes of VSEE, due May 21, 2025 and July 25, 2025, each issued by VSEE (the “Additional Notes”) pursuant to that certain Securities Purchase Agreement, dated as of October 5, 2022, by and among the Companies, the Holders and the Collateral Agent (as amended, the “Purchase Agreement”), and the senior secured convertible promissory note of VSEE, due December [14], 2025 (the “Exchange Notes” and together with the Additional Notes, collectively, the “Notes”), issued by VSEE pursuant to that certain Exchange Agreement, dated as of November 21, 2023, by and among the Companies and the Holders (the “Exchange Agreement”) and for the other Holder Parties.</w:t>
        <w:br/>
        <w:t xml:space="preserve">  RECITALS</w:t>
        <w:br/>
        <w:t xml:space="preserve">  WHEREAS, pursuant to the Purchase Agreement (together with the Transaction Documents (as defined in the Purchase Agreement), collectively, the “Existing Transaction Documents”), the Initial Holders purchased certain senior secured notes of the Companies, due October 5, 2022, each issued by the applicable Company (the “Original Notes”), from the Companies upon the terms and subject to the conditions set forth therein;</w:t>
        <w:br/>
        <w:t xml:space="preserve">  WHEREAS, the Grantors executed in favor of the Collateral Agent for the Initial Holders that certain Security Agreement, dated as of October 5, 2022 (the “”), pursuant to which all the Obligations under Existing Transaction Documents, including the Original Notes and the Additional Notes, are secured;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