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Execution Version</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“1933 ACT”), AND, ACCORDINGLY, MAY NOT BE OFFERED OR SOLD EXCEPT PURSUANT TO AN EFFECTIVE REGISTRATION STATEMENT UNDER THE 1933 ACT OR PURSUANT TO AN AVAILABLE EXEMPTION FROM, OR IN A TRANSACTION NOT SUBJECT TO, THE REGISTRATION REQUIREMENTS OF THE 1933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NKGEN BIOTECH, INC.</w:t>
        <w:br/>
        <w:t xml:space="preserve">  Warrant Shares: 1,000,000</w:t>
        <w:br/>
        <w:t>Date of Issuance: April 5, 2024 (“Issuance Date”)</w:t>
        <w:br/>
        <w:t xml:space="preserve">  This COMMON STOCK PURCHASE WARRANT (the “Warrant”) certifies that, for value received (in connection with the loan of up to $5,000,000 made upon the entry into of the Equity and Business Loan Agreement dated as of the date hereof among NKGEN OPERATING BIOTECH, INC., NKGEN BIOTECH, INC. (the “Company”), and BDW INVESTMENTS LLC (including any permitted and registered assigns, the “Holder”), (the “Agreement”)), the Holder is entitled, upon the terms and subject to the limitations on exercise and the conditions hereinafter set forth, at any time on or after the date of issuance hereof, to purchase from the Company), 1,000,000 shares of Common Stock (the “Warrant Shares”) (whereby such number may be adjusted from time to time pursuant to the terms and conditions of this Warrant) at the Exercise Price per share then in effect.</w:t>
        <w:br/>
        <w:t xml:space="preserve">  Capitalized terms used in this Warrant shall have the meanings set forth in the Agreement unless otherwise defined in the body of this Warrant or in Section 16 below. For purposes of this Warrant, the term “Exercise Price” shall mean $2.00,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Agreement (any Event of Default under the Agreement, including but not limited to the share delivery failure described in this sentence, shall be referred to in this Warrant as an “Event of Default”), a material breach under this Warrant, and a material breach under the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1934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1934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SEC,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would beneficially own in excess of the amount of shares as described in Section 3.1.17 of the Agreement, unless the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2</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number of Warrant Shares issuable upon exercise of this Warrant are subject to adjustment from time to time as set forth in this Section 2.</w:t>
        <w:br/>
        <w:t xml:space="preserve">  3</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such Dilutive Issuance, the Exercise Price then in effect shall be reduced to an amount equal to the New Issuance Price, provided that the issuance of Common Stock and warrants under the Company’s forward purchase agreements, as may continue to be amended, which were entered into among the Company and the various parties thereto initially on September 22, 2023, September 26, 2023 and September 29, 2023 (the “Excluded Issuances”), shall not be deemed a Dilutive Issuance.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4</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5</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6</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7</w:t>
        <w:br/>
        <w:t xml:space="preserve">    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the Agreement and the other Related Documents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the Agreement and the other Related Documents referring to the “Company” shall refer instead to the Successor Entity), and may exercise every right and power of the Company and shall assume all of the obligations of the Company under this Warrant, the Agreement and the other Related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under the Agreement,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five (5) times the number of shares of Common Stock into which the Warrants are then exercisable into to provide for the exercise of the rights represented by this Warrant (without regard to any limitations on exercise).</w:t>
        <w:br/>
        <w:t xml:space="preserve">  10</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Holder consent to and expressly agree that the exclusive venue for litigation of any claims arising under this Warrant shall be in the State of Delaware. For any litigation arising in connection with this Warrant,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Holder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 the validity or enforceability of the remainder of this Warrant in that jurisdiction or the validity or enforceability of any provision of this Warrant in any other jurisdiction.</w:t>
        <w:br/>
        <w:t xml:space="preserve">  14.          ACCEPTANCE. Receipt of this Warrant by the Holder shall constitute acceptance of and agreement to all of the terms and conditions contained herein.</w:t>
        <w:br/>
        <w:t xml:space="preserve">  12</w:t>
        <w:br/>
        <w:t xml:space="preserve">    15.           DISPUTE RESOLUTION.</w:t>
        <w:br/>
        <w:t xml:space="preserve">  (a)           Submission to Dispute Resolution.</w:t>
        <w:br/>
        <w:t xml:space="preserve">  (i)             Notwithstanding anything to the contrary in this Warrant,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“Warrant Calculations”), the Company or the Holder (as the case may be) shall submit the dispute to the other party via electronic mail (A) if by the Company, within two (2) Trading Days after the occurrence of the circumstances giving rise to such dispute or (B) if by the Holder, at any time after the Holder learned of the circumstances giving rise to such dispute. If the Holder and the Company are unable to agree upon such determination or calculation within two (2) Trading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this Section 15(a)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Warrant Calculations includes, without limitation, disputes as to (A) whether an issuance or sale or deemed issuance or sale of Common Stock occurred under Section 2 of this Warrant,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 Option or Convertible Security and (E) whether a Dilutive Issuance occurred, (iii) the terms of this Warrant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of this Warrant,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 Option or Convertible Security and (E) whether a Dilutive Issuance occurred) and in resolving such dispute such Independent Third Party shall apply such findings, determinations and the like to the terms of this Warrant, and (iv) nothing in this Section 15 shall limit the Holder from obtaining any injunctive relief or other equitable remedies (including, without limitation, with respect to any matters described in this Section 15).</w:t>
        <w:br/>
        <w:t xml:space="preserve">  13</w:t>
        <w:br/>
        <w:t xml:space="preserve">    16.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14</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15</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16</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17</w:t>
        <w:br/>
        <w:t xml:space="preserve">    IN WITNESS WHEREOF, the Company has caused this Warrant to be duly executed as of the Issuance Date set forth above.</w:t>
        <w:br/>
        <w:t xml:space="preserve">    NKGEN BIOTECH, INC.</w:t>
        <w:br/>
        <w:t xml:space="preserve">      /s/ Xxxx Xxxx</w:t>
        <w:br/>
        <w:t xml:space="preserve">  Name: Xxxx Xxxx</w:t>
        <w:br/>
        <w:t xml:space="preserve">  Title: Chief Executive Officer</w:t>
        <w:br/>
        <w:t xml:space="preserve">  18</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purchase_________________of the shares of Common Stock (“Warrant Shares”) of NKGEN BIOTECH,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to__________________Warrant Shares; or</w:t>
        <w:br/>
        <w:t xml:space="preserve">    ¨ by cashless exercise pursuant to the Warrant.</w:t>
        <w:br/>
        <w:t xml:space="preserve">  2. Payment of Exercise Price. If cash exercise is selected above, the holder shall pay the applicable Aggregate Exercise Price in the sum of $_____________to the Company in accordance with the terms of the Warrant.</w:t>
        <w:br/>
        <w:t xml:space="preserve">  3. Delivery of Warrant Shares. The Company shall deliver to the holder_____________Warrant Shares in accordance with the terms of the Warrant.</w:t>
        <w:br/>
        <w:t xml:space="preserve">  Date: __________________________________</w:t>
        <w:br/>
        <w:t xml:space="preserve">        (Print Name of Registered Holder)</w:t>
        <w:br/>
        <w:t xml:space="preserve">      By:  </w:t>
        <w:br/>
        <w:t xml:space="preserve">  Name:  </w:t>
        <w:br/>
        <w:t xml:space="preserve">  Title:  </w:t>
        <w:br/>
        <w:t xml:space="preserve">  19</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 the right to purchase________________shares of common stock of NKGEN BIOTECH, INC., to which the within Common Stock Purchase Warrant relates and appoints               , as attorney-in-fact, to transfer said right on the books of NKGEN BIOTECH, INC. with full power of substitution and re-substitution in the premises. By accepting such transfer, the transferee has agreed to be bound in all respects by the terms and conditions of the within Warrant.</w:t>
        <w:br/>
        <w:t xml:space="preserve">  Dated: ___________________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