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Jyo Co., Ltd.</w:t>
        <w:br/>
        <w:t xml:space="preserve">  Warrant Shares: 80 (2%), subject</w:t>
        <w:br/>
        <w:t>to adjustment as set forth herein.</w:t>
        <w:br/>
        <w:t>Issuance Date: February 23, 2024</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Jyo Co., Ltd.,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Service Agreement dated as of the issuance date as set forth above (the “Issuance Date”) between the Company and the Holder (the “Service Agreement”). The Company and the Holder acknowledge and agree that the number of Warrant Shares as set forth above represent 2%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two (2) Trading Days of delivery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2</w:t>
        <w:br/>
        <w:t xml:space="preserve">      (b) Exercise Price. The exercise price per share of the Common Stock under this Warrant shall be $0.01, subject to adjustment as described herein (as applicable, the “Exercise Price”).</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3</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4</w:t>
        <w:br/>
        <w:t xml:space="preserve">    (e) Mechanics of Exercise.</w:t>
        <w:br/>
        <w:t>(i)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amount of $1,000.00 per Trading Day. The Company shall pay any payments incurred under this Section 2(e) in immediately available funds, or shares of Common Stock of the Company, in the Holder’s discretion, upon demand.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5</w:t>
        <w:br/>
        <w:t xml:space="preserve">    (iv)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$11,000.00 to cover a Buy-In with respect to an attempted exercise of shares of Common Stock with an aggregate sale price giving rise to such purchase obligation of $10,000.00, under clause (A) of the immediately preceding sentence the Company shall be required to pay the Holder $1,000.00. The Holder shall provide the Company written notice indicating the amounts payable to the Holder in respect of the Buy-In and, upon request of the Company, evidence of the amount of such loss. Nothing herein shall limit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6</w:t>
        <w:br/>
        <w:t xml:space="preserve">    (vii) Closing of Books. The Company will not close its stockholder books or records in any manner which prevents the timely exercise of this Warrant, pursuant to the terms hereof.</w:t>
        <w:br/>
        <w:t>(f)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7</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2%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8</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(“Newco”), to undertake the Trigger Event, and in which event the Company is expected to be acquired by, or merge with, Newco or a subsidiary of Newco, such that Newco will be the entity that completes the Trigger Event (the “Restructuring”).</w:t>
        <w:br/>
        <w:t>(ii)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2%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 void.</w:t>
        <w:br/>
        <w:t>(c) Adjustment of Warrant Shares. The number of Warrant Shares for which this Warrant shall be exercisable shall be automatically adjusted on the Trigger Date to be 2% of the fully diluted number and class of shares of capital stock of the Company or any Successor Entity, as applicable, as of the Trigger Date, following completion of the transactions which caused the Trigger Date to be achieved.</w:t>
        <w:br/>
        <w:t>9</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(h) Notice to Holder.</w:t>
        <w:br/>
        <w:t>(i)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10</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Section 4. Transfer of Warrant.</w:t>
        <w:br/>
        <w:t xml:space="preserve">  (a) 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11</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12</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(e) Governing Law and Jurisdiction. This Warrant, and any and all claims, proceedings or causes of action relating to this Warrant or arising from this Warrant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(f) Restrictions. The Holder acknowledges that the Warrant Shares acquired upon the exercise of this Warrant, if not registered, will have restrictions upon resale imposed by state and federal securities laws.</w:t>
        <w:br/>
        <w:t>13</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(h) Notices. Any notice, request or other document required or permitted to be given or delivered to the Holder by the Company shall be delivered in accordance with the notice provisions of the Consulting Agreement.</w:t>
        <w:br/>
        <w:t>(i)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(l) Amendment. Other than as specifically set forth herein, this Warrant may be modified or amended or the provisions hereof waived only with the written consent of the Company and the Holder.</w:t>
        <w:br/>
        <w:t>(m)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(n) Headings. The headings used in this Warrant are for the convenience of reference only and shall not, for any purpose, be deemed a part of this Warrant.</w:t>
        <w:br/>
        <w:t>(o)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14</w:t>
        <w:br/>
        <w:t xml:space="preserve">    IN WITNESS WHEREOF, the Company has caused this Warrant to be executed by its officer thereunto duly authorized as of Issuance Date.</w:t>
        <w:br/>
        <w:t xml:space="preserve">    Jyo Co., Ltd.</w:t>
        <w:br/>
        <w:t xml:space="preserve">        By: /s/ Kento Fukuoka</w:t>
        <w:br/>
        <w:t xml:space="preserve">  Name: Xxxxx Xxxxxxx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15</w:t>
        <w:br/>
        <w:t xml:space="preserve">    NOTICE OF EXERCISE</w:t>
        <w:br/>
        <w:t xml:space="preserve">  TO: Jyo Co., Ltd.</w:t>
        <w:br/>
        <w:t xml:space="preserve">  (1) The undersigned hereby elects to purchase                    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 xml:space="preserve">                    Name of Investing Entity:</w:t>
        <w:br/>
        <w:t xml:space="preserve">        Signature of Authorized Signatory of Investing Entity:</w:t>
        <w:br/>
        <w:t xml:space="preserve">      Name:    </w:t>
        <w:br/>
        <w:t xml:space="preserve">Title:    </w:t>
        <w:br/>
        <w:t xml:space="preserve">Date:    </w:t>
        <w:br/>
        <w:t xml:space="preserve">        ASSIGNMENT FORM</w:t>
        <w:br/>
        <w:t xml:space="preserve">  (To assign the foregoing warrant, execute this form and supply required information. Do not use this form to exercise the warrant.)</w:t>
        <w:br/>
        <w:t xml:space="preserve">  Jyo Co., Ltd.</w:t>
        <w:br/>
        <w:t xml:space="preserve">  FOR VALUE RECEIVED, [               ] all of or [              ] shares of the foregoing Warrant and all rights evidenced thereby are hereby assigned to ____________________________________________________whose address is ___________________________________________________________________.</w:t>
        <w:br/>
        <w:t xml:space="preserve">  Dated: _______________________________________________,__________</w:t>
        <w:br/>
        <w:t xml:space="preserve">  Holder’s Signature:    </w:t>
        <w:br/>
        <w:t xml:space="preserve">      Holder’s Address:    </w:t>
        <w:br/>
        <w:t xml:space="preserve">              Signed in the presence of:</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