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HEMPACCO CO., INC.</w:t>
        <w:br/>
        <w:t xml:space="preserve">  Warrant Shares: 361,832</w:t>
        <w:br/>
        <w:t>Date of Issuance: December 11, 2023 (“Issuance Date”)</w:t>
        <w:br/>
        <w:t xml:space="preserve">  This COMMON STOCK PURCHASE WARRANT (the “Warrant”) certifies that, for value received (in connection with the issuance of the promissory note in the principal amount of $835,000.00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HEMPACCO CO., INC., a Nevada corporation (the “Company”), 361,832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December 11, 2023, by and among the Company and the Holder (the “Purchase Agreement”).</w:t>
        <w:br/>
        <w:t xml:space="preserve">  Capitalized terms used in this Warrant shall have the meanings set forth in the Purchase Agreement unless otherwise defined in the body of this Warrant or in Section 16 below. For purposes of this Warrant, the term “Exercise Price” shall mean $1.50,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w:t>
        <w:br/>
        <w:t xml:space="preserve"> X =</w:t>
        <w:br/>
        <w:t xml:space="preserve">  the number of Shares to be issued to Holder.</w:t>
        <w:br/>
        <w:t xml:space="preserve">               Y =</w:t>
        <w:br/>
        <w:t xml:space="preserve">  the number of Warrant Shares that the Holder elects to purchase under this Warrant (at the date of such calculation).</w:t>
        <w:br/>
        <w:t xml:space="preserve">               A =</w:t>
        <w:br/>
        <w:t xml:space="preserve">  the Market Price (at the date of such calculation).</w:t>
        <w:br/>
        <w:t xml:space="preserve">               B =</w:t>
        <w:br/>
        <w:t xml:space="preserve">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the event that the Company is prohibited from issuing any shares of Common Stock pursuant to this Warrant due to the Company’s failure to obtain the Shareholder Approval (as defined in the Purchase Agreement)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4</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5</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6</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sixteenth(16th) Trading Day immediately following such Stock Combination Event, the Exercise Price then in effect on such sixteenth(16th)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8</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four (4)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11</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13</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14</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16</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HEMPACCO CO., INC.</w:t>
        <w:br/>
        <w:t xml:space="preserve">          /s/ Xxxxxx Xxxxxxxx</w:t>
        <w:br/>
        <w:t xml:space="preserve">    Name: Xxxxxx Xxxxxxxx</w:t>
        <w:br/>
        <w:t>Title: Chief Executive Officer</w:t>
        <w:br/>
        <w:t xml:space="preserve">      19</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purchase______________________of the shares of Common Stock (“Warrant Shares”) of HEMPACCO CO., INC., a Nevada corporation (the “Company”), evidenced by the attached copy of the Common Stock Purchase Warrant (the “Warrant”). Capitalized terms used herein and not otherwise defined shall have the respective meanings set forth in the Warrant.</w:t>
        <w:br/>
        <w:t xml:space="preserve">  1.</w:t>
        <w:br/>
        <w:t>Form of Exercise Price. The Holder intends that payment of the Exercise Price shall be made as (check one):</w:t>
        <w:br/>
        <w:t xml:space="preserve">    ☐</w:t>
        <w:br/>
        <w:t>a cash exercise with respect to______________________Warrant Shares; or</w:t>
        <w:br/>
        <w:t xml:space="preserve">  ☐</w:t>
        <w:br/>
        <w:t>by cashless exercise pursuant to the Warrant.</w:t>
        <w:br/>
        <w:t xml:space="preserve">  2.</w:t>
        <w:br/>
        <w:t>Payment of Exercise Price. If cash exercise is selected above, the holder shall pay the applicable Aggregate Exercise Price in the sum of $______________________to the Company in accordance with the terms of the Warrant.</w:t>
        <w:br/>
        <w:t xml:space="preserve">    3.</w:t>
        <w:br/>
        <w:t>Delivery of Warrant Shares. The Company shall deliver to the holder______________________Warrant Shares in accordance with the terms of the Warrant.</w:t>
        <w:br/>
        <w:t xml:space="preserve">  Date: ______________________</w:t>
        <w:br/>
        <w:t xml:space="preserve">          (Print Name of Registered Holder)</w:t>
        <w:br/>
        <w:t xml:space="preserve">            By:</w:t>
        <w:br/>
        <w:t xml:space="preserve">      Name:</w:t>
        <w:br/>
        <w:t xml:space="preserve">      Title:</w:t>
        <w:br/>
        <w:t xml:space="preserve">                                                                                                                                                                                                   20</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HEMPACCO CO., INC.,  to  which  the  within Common Stock Purchase Warrant relates and appoints      , as attorney-in-fact, to transfer said right on the books of HEMPACCO CO., INC. with full power of substitution and re-substitution in the premises. By accepting such transfer, the transferee has agreed to be bound in all respects by the terms and conditions of the within Warrant.</w:t>
        <w:br/>
        <w:t xml:space="preserve">  Dated:  ______________________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