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SECURITY AGREEMENT</w:t>
        <w:br/>
        <w:t xml:space="preserve">  This SECURITY AGREEMENT (the “Agreement”) is made and entered into on June 28, 2024, by and between 1847 Cabinets Inc., a corporation organized under the laws of the State of Delaware, High Mountain Door &amp; Trim Inc., a corporation organized under the laws of the State of Nevada, Sierra Homes LLC, a limited liability company organized under the laws of the State of Nevada, and Xxxx’s Custom Wood Shop, Inc. a corporation organized under the laws of the State of Idaho (collectively, the “Debtor”) and Breadcrumbs Capital LLC, a limited liability company organized under the laws of the State of Delaware, and its permitted endorsees, transferees and assigns (collectively, the “Secured Party”).</w:t>
        <w:br/>
        <w:t xml:space="preserve">  RECITALS</w:t>
        <w:br/>
        <w:t xml:space="preserve">  A. Concurrently herewith, Debtor has issued that certain convertible promissory note to the Secured Party (the “Note”) in the principal amount of up to $2,317,500 to the Secured Party.</w:t>
        <w:br/>
        <w:t xml:space="preserve">  B. The Debtor now enters into this Agreement with the Secured Party as security for Debtor’s Obligations (as defined below).</w:t>
        <w:br/>
        <w:t xml:space="preserve">  AGREEMENT</w:t>
        <w:br/>
        <w:t xml:space="preserve">  NOW, THEREFORE, in consideration of their respective promises contained herein and other good and valuable consideration, the receipt and sufficiency of which are hereby acknowledged, the parties hereby agree as follows:</w:t>
        <w:br/>
        <w:t xml:space="preserve">  1. Definitions. Terms used but not otherwise defined in this Agreement that are defined in Article 9 of the Uniform Commercial Code as adopted in the state of Delaware (the “UCC”) (such as “account,” “adverse claim,” “chattel paper,” “deposit account,” “document,” “equipment,” “fixtures,” “general intangibles,” “goods,” “instruments,” “inventory,” “investment property,” “proceeds,” and “supporting obligations”) shall have the respective meanings given such terms in Article 9 of the UCC. Capitalized terms used in this Agreement and not defined elsewhere herein shall have the meanings set forth below: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