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125,000</w:t>
        <w:br/>
        <w:t>Date of Issuance: May 23, 2023 (“Issuance Date”)</w:t>
        <w:br/>
        <w:t xml:space="preserve">  This COMMON STOCK PURCHASE WARRANT (the “Warrant”) certifies that, for value received (in connection with the issuance of the senior secured promissory note in the principal amount of $1,500,000.00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125,000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May 23, 2023, by and among the Company and the Holder (the “Purchase Agreement”). For the avoidance of doubt, this Warrant is referred to in the Purchase Agreement as the “First Warrant”.</w:t>
        <w:br/>
        <w:t xml:space="preserve">  Capitalized terms used in this Warrant shall have the meanings set forth in the Purchase Agreement unless otherwise defined in the body of this Warrant or in Section 17 below. For purposes of this Warrant, the term “Exercise Price” shall mean $4.50,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10</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11</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12</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three (3) Business Days after the occurrence of the circumstances giving rise to such dispute or (B) if by the Holder, at any time after the Holder learned of the circumstances giving rise to such dispute. If the Holder and the Company are unable to promptly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at any time after the third (3rd) Business Day following such initial notice by the Company or the Holder (as the case may be) of such dispute to the Company or the Holder (as the case may be), then the Holder may, at its sole option, select an independent, reputable investment bank to resolve such dispute.</w:t>
        <w:br/>
        <w:t xml:space="preserve">  (ii) The Holder and the Company shall each deliver to such investment bank (A) a copy of the initial dispute submission so delivered in accordance with the first sentence of this Section 15 and (B) written documentation supporting its position with respect to such dispute, in each case, no later than 5:00 p.m. (New York time) by the fifth (5th) Business Day immediately following the date on which the Holder selected such investment bank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 xml:space="preserve">  13</w:t>
        <w:br/>
        <w:t xml:space="preserve">    (iii) The Company and the Holder shall cause such investment bank to determine the resolution of such dispute and notify the Company and the Holder of such resolution no later than ten (10) Business Days immediately following the Dispute Submission Deadline. The fees and expenses of such investment bank shall be borne by the party who does not prevail, as determined by such investment bank, and such investment bank’s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investment bank shall apply such findings, determinations and the like to the terms of this Warrant and any other applicable Transaction Documents, (iv) the Holder (and only the Holder), in its sole discretion, shall have the right to submit any dispute described in this Section 15 to the Delaware Courts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14</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or equivalent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16</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_____________Warrant Shares; or</w:t>
        <w:br/>
        <w:t>☐ by cashless exercise pursuant to the Warrant.</w:t>
        <w:br/>
        <w:t xml:space="preserve">   2. Payment of Exercise Price. If cash exercise is selected above, the holder shall pay the applicable Aggregate Exercise Price in the sum of $ _____________to the Company in accordance with the terms of the Warrant.</w:t>
        <w:br/>
        <w:t xml:space="preserve">  3. Delivery of Warrant Shares. The Company shall deliver to the holder ______________Warrant Shares in accordance with the terms of the Warrant.</w:t>
        <w:br/>
        <w:t xml:space="preserve">  Date:_________________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 the right to purchase ______________ shares of common stock of AVALON GLOBOCARE CORP., to which the within Common Stock Purchase Warrant relates and appoints 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Dated:________________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