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SERVICES AGREEMENT</w:t>
        <w:br/>
        <w:br/>
        <w:t>This Services Agreement (“Agreement”) is effective as of the 1st day of June, 2024 by and between Curiosity Inc., with an office located at 0000 Xxxxxxx Xxx., Xxxxx 000, Xxxxxx Xxxxxx, XX 00000 (“CS”), and Xxxxx Xxxxxxx, with offices located at 00 Xxx Xxx Xxxxx, Xxxxxxx, XX 00000 (“Service Provider”).</w:t>
        <w:br/>
        <w:br/>
        <w:t>WHEREAS, Service Provider and CS desire to enter into an agreement for the performance by Service Provider of certain professional services and the granting of certain rights in connection with activities being conducted by CS.</w:t>
        <w:br/>
        <w:br/>
        <w:t>NOW, THEREFORE, in consideration of the foregoing, the mutual promises and covenants contained herein, and other good and valuable consideration, the receipt and sufficiency of which are hereby acknowledged, the parties agree as follows:</w:t>
        <w:br/>
        <w:br/>
        <w:t>1.    SERVICES: In consultation with and to the satisfaction of CS in CS’s sole but reasonable discretion, Service Provider will provide to CS strategic, finance, and management advisory services such as improved payment processing methods, evaluating potential investments or transactions, transitioning his knowledge and duties as former CFO of CS and similar or related services in each case as may be reasonably requested by CS (“Services”) in accordance with the “Standard Terms and Conditions” and “Indemnification” attached hereto as Exhibit A and Annex A, respectively, and incorporated by reference. Service Provider may also provide additional Services upon request by CS (the “Additional Services”). Any such Additional Services shall be negotiated between the parties and evidenced by one or more “Additional Services Exhibits” that shall set forth such Additional Services and be attached to this Agreement as amendments.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