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REORGANIZED PUBLICCO SERVICES AGREEMENT</w:t>
        <w:br/>
        <w:t>This Reorganized PublicCo Services Agreement (this “Agreement”), dated as of December 7, 2023 (“Effective Date”), is made by and between Capstone Green Energy Holdings, Inc. (f/k/a Capstone Turbine International, Inc.), a Delaware corporation (“Reorganized PublicCo”), and Capstone Green Energy LLC, a Delaware limited liability company (“New Subsidiary” and together with Reorganized PublicCo, the “Parties” and each a “Party”).</w:t>
        <w:br/>
        <w:t>WHEREAS, Reorganized PublicCo and certain of its affiliates have jointly proposed that certain Joint Prepackaged Chapter 11 Plan of Reorganization of Capstone Green Energy Corporation and Its Debtor Affiliates, filed on September 28, 2023, which contemplates the reorganization and restructuring of the aforementioned parties (as amended, supplemented or modified from time to time, the “Plan”);</w:t>
        <w:br/>
        <w:t>WHEREAS, as of the date hereof, Reorganized PublicCo holds a majority of the issued and outstanding equity interests of New Subsidiary;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