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Execution Version </w:t>
        <w:br/>
        <w:t xml:space="preserve">  FIRST AMENDMENT TO SERVICES AGREEMENT</w:t>
        <w:br/>
        <w:t xml:space="preserve">  THIS FIRST AMENDMENT TO SERVICES AGREEMENT (this “Amendment”), dated as of August 24, 2021, is by and among The Parking REIT, Inc., a Maryland corporation (the “Company”), MVP REIT II Operating Partnership, LP, a Delaware limited partnership (the “OP,” and together with the Company and its Subsidiaries, each a “Company Party” and, collectively, the “Company Parties”), on the one hand, and Vestin Realty Mortgage I, Inc., a Maryland corporation (“VRMI”), Vestin Realty Mortgage II, Inc., a Maryland corporation (“VRMII”), MVP Realty Advisors, LLC, dba The Parking REIT Advisors, a Delaware limited liability company (“REIT Manager”), and Xxxxxxx X. Xxxxxxx, an individual (“Shustek”, together with VRMI, VRMII and REIT Manager, each, a “Manager Entity” and, collectively, the “Manager Entities”), on the other hand.  The Company Parties and the Manager Entities are referred to herein each as a “Party” and collectively as the “Parties.”</w:t>
        <w:br/>
        <w:t xml:space="preserve">  WITNESSETH:</w:t>
        <w:br/>
        <w:t xml:space="preserve">  WHEREAS, the Parties entered into a Services Agreement, dated as of March 29, 2019 (the “Services Agreement”), pursuant to which the Manager Entities provide certain services to the Company Parties, subject to the terms and conditions set forth therein;</w:t>
        <w:br/>
        <w:t xml:space="preserve">  WHEREAS, Color Up, LLC, a Delaware limited liability company (the “Purchaser”), the Company, the OP, VRMI, VRMII and Shustek (Shustek and, together with VRMI and VRMII, the “Advisor”) have entered into an Equity Purchase and Contribution Agreement, dated as of January 8, 2021 (the “”), pursuant to which, among other things, (i) the Advisor sold, transferred, conveyed and contributed to the Purchaser shares of common stock, $0.0001 par value per share, of the Company owned or held by the Advisor in exchange for cash, and (ii) the Purchaser contributed, transferred and conveyed cash, certain technology and equity interests in certain real properties in exchange for newly issued limited partnership interests in the OP, in each case, subject to the terms and conditions set forth therein;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