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10.5 </w:t>
        <w:br/>
        <w:t xml:space="preserve">  SERVICES AGREEMENT</w:t>
        <w:br/>
        <w:t xml:space="preserve">  This Services Agreement (“Agreement”) is effective as of January [●], 2021 (the “Effective Date”), by and between BlueRiver Acquisition Corp., a Cayman Islands exempted company (“Company”) and BlueRiver Ventures Services LLC, a Delaware limited liability company (“Service Provider” and together with Company, the “Parties” and each a “Party”).</w:t>
        <w:br/>
        <w:t xml:space="preserve">  1.           SERVICES.</w:t>
        <w:br/>
        <w:t xml:space="preserve">  Service Provider will endeavor to provide certain services as set forth on Exhibit A attached hereto (the “Services”) in accordance with and subject to the terms in the body of this Agreement.</w:t>
        <w:br/>
        <w:t xml:space="preserve">  2.           TERM &amp; TERMINATION.</w:t>
        <w:br/>
        <w:t xml:space="preserve">  The term of this Agreement (and the provision of Services hereunder) will commence on the Effective Date and continue until the earlier of (x) the consummation by the Company of an initial business combination and (y) the Company’s complete liquidation (in each case, as described in the registration statement for the initial public offering of securities of the Company), unless earlier terminated by either Party at any time. Upon any termination, all rights of Service Provider and all obligations of Company shall terminate, except rights to payment accrued prior to termination, and Sections 4 and 5 shall survive termination.</w:t>
        <w:br/>
        <w:t xml:space="preserve">  3.           COMPENSATION.</w:t>
        <w:br/>
        <w:t xml:space="preserve">  Company agrees to compensate Service Provider for the Services in accordance with the rates and payment schedule set forth on Exhibit A attached hereto. All payments to be made by Company to Service Provider under this Agreement shall be in U.S. dollars.</w:t>
        <w:br/>
        <w:t xml:space="preserve">  4.           LIMITATION OF LIABILITY AND WARRANTY DISCLAIMER.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