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br/>
        <w:t>SERVICES AGREEMENT</w:t>
        <w:br/>
        <w:br/>
        <w:t>THIS SERVICES AGREEMENT (this “Agreement”), is executed as of February 8, 2019 (the “Effective Date”), by and among The Dun and Bradstreet Corporation, a Delaware company (the “Company”), MVB Management, LLC, a Delaware limited liability company (“MVB”), and THL Managers VIII, LLC, a Delaware limited liability company (“THL”).</w:t>
        <w:br/>
        <w:br/>
        <w:t>W I T N E S S E T H:</w:t>
        <w:br/>
        <w:br/>
        <w:t>WHEREAS, the Company is a party to that certain Agreement and Plan of Merger, dated August 8, 2018 (as amended, restated, modified or supplemented from time to time, the “Merger Agreement”), by and among the Company, Star Parent, L.P., a Delaware limited partnership (“Parent”), and Star Merger Sub, Inc., a Delaware corporation and wholly owned subsidiary of Parent, pursuant to which Parent is indirectly acquiring the Company on the Effective Date (the “Acquisition”);</w:t>
        <w:br/>
        <w:br/>
        <w:t>WHEREAS, MVB (including through CC Capital Holdings, LP and its Affiliates (“CC”, and together with any Person controlled by, directly or indirectly, CC,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