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SERVICES AGREEMENT</w:t>
        <w:br/>
        <w:t xml:space="preserve">  This SERVICES AGREEMENT (the “Agreement”) is made as of [______] (the “Effective Date”), between IIS Re Ltd. (the “Company”) and 1347 Advisors LLC (the “Consultant”).</w:t>
        <w:br/>
        <w:t xml:space="preserve">  W I T N E S S E T H:</w:t>
        <w:br/>
        <w:t xml:space="preserve">  WHEREAS, the Company is organized and existing under the laws of Bermuda;</w:t>
        <w:br/>
        <w:t xml:space="preserve">  WHEREAS, the Company desires to retain the Consultant to render certain brokerage and structuring services to the Company, and the Consultant is willing to render such services; and</w:t>
        <w:br/>
        <w:t xml:space="preserve">  WHEREAS, the Consultant, a Delaware limited liability company, is ready and willing to act as consultant to the Company, subject to and in accordance with the provisions hereinafter set forth.</w:t>
        <w:br/>
        <w:t xml:space="preserve">  NOW, THEREFORE, in consideration of the premises and mutual covenants hereinafter set forth, the parties hereto agree as follows:</w:t>
        <w:br/>
        <w:t xml:space="preserve">  Article I: Retention of Consultant</w:t>
        <w:br/>
        <w:t xml:space="preserve">  Section 1.1. The Company hereby retains the Consultant for the period and on the terms set forth in this Agreement. The Consultant agrees to render the services herein set forth for the compensation herein provided.</w:t>
        <w:br/>
        <w:t xml:space="preserve">  Section 1.2. The Consultant agrees to notify the Company of any change in the ownership of the Consultant within a reasonable time after such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