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HILTON GRAND VACATIONS INC.</w:t>
        <w:br/>
        <w:t>SEVERANCE AGREEMENT</w:t>
        <w:br/>
        <w:t>THIS SEVERANCE AGREEMENT (the “Agreement”) is entered into effective as of November 30, 2017 (the “Effective Date”), by and between HILTON GRAND VACATIONS INC., a Delaware corporation (the “Company”), and Xxxxxx Silver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 xml:space="preserve">  1.3“Annual Base Salary” means the Executive’s annual base salary at the rate in effect immediately prior to a Qualifying Termination.  </w:t>
        <w:br/>
        <w:t>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2</w:t>
        <w:br/>
        <w:t xml:space="preserve">  1.12“Competitor”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w:t>
        <w:br/>
        <w:t>3</w:t>
        <w:br/>
        <w:t xml:space="preserve">  must be given no later than 90 days after the initial occurrence of such event), and the Company fails to cure such event within 30 days after receipt of this written notice.  The Executive’s employment must be terminated for Good Reason within 150 days following the initial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w:t>
        <w:br/>
        <w:t>4</w:t>
        <w:br/>
        <w:t xml:space="preserve">  that the Executive terminates employment due to a Qualifying Termination and a Change in Control has occurred, such payment shall be made within 60 days following the Termination Date.  In the event that the Executive terminates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w:t>
        <w:br/>
        <w:t>5</w:t>
        <w:br/>
        <w:t xml:space="preserve">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6</w:t>
        <w:br/>
        <w:t xml:space="preserve">  (c)Life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w:t>
        <w:br/>
        <w:t>7</w:t>
        <w:br/>
        <w:t xml:space="preser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 this restriction shall not prevent the Executive from working for or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w:t>
        <w:br/>
        <w:t>8</w:t>
        <w:br/>
        <w:t xml:space="preserve">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9</w:t>
        <w:br/>
        <w:t xml:space="preserve">  (b)“Confidential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w:t>
        <w:br/>
        <w:t>10</w:t>
        <w:br/>
        <w:t xml:space="preserve">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w:t>
        <w:br/>
        <w:t>11</w:t>
        <w:br/>
        <w:t xml:space="preserve">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12</w:t>
        <w:br/>
        <w:t xml:space="preserve">  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13</w:t>
        <w:br/>
        <w:t xml:space="preserve">  6.3In the event that the provisions of Code Section 280G and 4999 or any successor provisions are repealed without succession, this Section 6 shall be of no further force or effect.</w:t>
        <w:br/>
        <w:t>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14</w:t>
        <w:br/>
        <w:t xml:space="preserve">  (a)The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0.Xx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15</w:t>
        <w:br/>
        <w:t xml:space="preserve">  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10.Miscellaneous.</w:t>
        <w:br/>
        <w:t>10.1Notices.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 at his or her last known address, as reflected in the Company’s records.</w:t>
        <w:br/>
        <w:t>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16</w:t>
        <w:br/>
        <w:t xml:space="preserve">  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w:t>
        <w:br/>
        <w:t>17</w:t>
        <w:br/>
        <w:t xml:space="preserv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 xml:space="preserve">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18</w:t>
        <w:br/>
        <w:t xml:space="preserve">  (b)No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 xml:space="preserve">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 arrangement and that he or she shall not be entitled to duplicative benefits under both this Agreement and any other Company severance plan, policy or arrangement.  </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19</w:t>
        <w:br/>
        <w:t xml:space="preserve">  [Signature Page to Follow]</w:t>
        <w:br/>
        <w:t>IN WITNESS WHEREOF, the parties have executed this Agreement effective as of the date and year first above written.</w:t>
        <w:br/>
        <w:t xml:space="preserve">  HILTON GRAND VACATIONS INC.</w:t>
        <w:br/>
        <w:t xml:space="preserve">    By:</w:t>
        <w:br/>
        <w:t>/s/ Xxxxxxx X. Xxxxxx</w:t>
        <w:br/>
        <w:t>Name:</w:t>
        <w:br/>
        <w:t>Xxxxxxx X. Xxxxxx</w:t>
        <w:br/>
        <w:t>Title:</w:t>
        <w:br/>
        <w:t>Executive Vice President &amp; General Counsel</w:t>
        <w:br/>
        <w:t xml:space="preserve">  EXECUTIVE</w:t>
        <w:br/>
        <w:t xml:space="preserve">      /s/ Xxxxxx X. Silver</w:t>
        <w:br/>
        <w:t>Name:</w:t>
        <w:br/>
        <w:t>Xxxxxx X. Silver</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