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10.9  </w:t>
        <w:br/>
        <w:t xml:space="preserve">    TRACON PHARMACEUTICALS, INC. SEVERANCE PLAN AMENDED AND RESTATED SEVERANCE AGREEMENT</w:t>
        <w:br/>
        <w:t>This Amended and Restated Severance Agreement (the "Agreement") is entered into by and between Xxxxx Xxxxx ("you" or "your") and TRACON Pharmaceuticals, Inc. (the "Company") pursuant to the TRACON Pharmaceuticals, Inc. Severance Plan ("Plan"). Capitalized terms used herein but not otherwise defined have the meanings set forth in the Plan.</w:t>
        <w:br/>
        <w:t xml:space="preserve">  This Agreement has an effective date of September 27, 2017 (the "Effective Date") and as of the Effective Date amends, restates and supersedes in its entirety the Severance Agreement between you and the Company dated June 2, 2014. You are a Covered Employee (as defined in the Plan) and participant in the Plan as provided by the Plan. This Agreement is the Severance Agreement described in the Plan and this Agreement enumerates the Plan benefits that may be provided to you as a Covered Employee as referenced in Section II of the Plan. All provisions of this Agreement are subject to and governed by the terms of the Plan. In the event of any conflict in terms between the Plan and this Agreement, the terms of the Plan shall prevail and govern.</w:t>
        <w:br/>
        <w:t xml:space="preserve">  In consideration of the mutual covenants and promises made in this Agreement, you and the Company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