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99(a)</w:t>
        <w:br/>
        <w:br/>
        <w:t>GNI HONG KONG SHARE PURCHASE AGREEMENT</w:t>
        <w:br/>
        <w:br/>
        <w:t>This GNI HONG KONG SHARE PURCHASE AGREEMENT (this “Agreement”), is made as of October 27, 2023, by and between GNI Hong Kong Limited, a company incorporated under the laws of Hong Kong with limited liability (“Seller”) and GNI Group Ltd., a company incorporated under the laws of Japan with limited liability (“Buyer”). Capitalized terms used but not otherwise defined herein have the meanings ascribed to such terms in the Business Combination Agreement (as defined below).</w:t>
        <w:br/>
        <w:br/>
        <w:t>WHEREAS, pursuant to (i) that certain Business Combination Agreement, dated as of December 26, 2022, and amended on March 29, 2023 and August 30, 2023 (as amended, the “Business Combination Agreement”), by and among Catalyst Biosciences, Inc., a Delaware corporation (“Parent”), Buyer, Seller, GNI USA, Inc., a Delaware corporation, Shanghai Genomics, Inc., a company organized under the laws of the People’s Republic of China, the Minority Holders and Continent Pharmaceuticals, Inc., a Cayman Islands company limited by shares (the “Company”), the parties intend to effect the contribution of the interests in each of the Company and Further Challenger International Ltd., a company incorporated and existing under the laws of the British Virgin Islands, to Parent in exchange for either, or a combination of, shares of common stock, par value $0.001 per share (the “Parent Common Stock”), or shares of Series X Convertible Preferred Stock, par value $0.001 per share (the “Parent Series X Preferred Stock”), of Parent, on the terms and subject to the conditions set forth therein and (ii) that certain Asset Purchase Agreement, dated as of December 26, 2022, and amended on March 29, 2023 (as amended, the “”), by and among Parent, Buyer and Seller (together, the “”), the F351 Sellers sold to Parent, and Parent purchased from the F351 Sellers, the Purchased Assets (as defined in the Asset Purchase Agreement), in exchange for the issuance to Buyer and Seller of a combination of Parent Common Stock and Parent Series X Preferred Stock (collectively,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