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IMMIX BIOPHARMA, INC.</w:t>
        <w:br/>
        <w:t>STOCK OPTION GRANT NOTICE AND OPTION AGREEMENT</w:t>
        <w:br/>
        <w:t>(Amended and Restated 2021 Omnibus Equity Incentive Plan)</w:t>
        <w:br/>
        <w:t xml:space="preserve">  As a key leader in our business, you are in a position to have significant influence on the performance and success of Immix Biopharma, Inc. (the “Company”). I am pleased to inform you that, in recognition of the role you play in our collective success, you have been granted an option to purchase shares of the Company’s Common Stock. This award is subject to the terms and conditions of the Immix Biopharma, Inc. Amended and Restated 2021 Omnibus Equity Incentive Plan, this Grant Notice, and the following Stock Option Agreement. The details of this award are indicated below.</w:t>
        <w:br/>
        <w:t xml:space="preserve">  Optionee: [Name]</w:t>
        <w:br/>
        <w:t>Date of Xxxxx: [Date]1</w:t>
        <w:br/>
        <w:t>Number of Shares subject to the Option: [Shares] Exercise</w:t>
        <w:br/>
        <w:t>Price Per Share: $[Exercise Price]</w:t>
        <w:br/>
        <w:t>Type of Option: [Nonqualified Stock Option/Incentive Stock Option]</w:t>
        <w:br/>
        <w:t>Expiration Date: The tenth (10th) anniversary of the Date of Xxxxx (the “Expiration Date”).</w:t>
        <w:br/>
        <w:t>Vesting: Options vest in ☒ equal monthly installments following the Date of Grant, subject to the Optionee’s continued service on the Board through such vesting dates.</w:t>
        <w:br/>
        <w:t xml:space="preserve">  By:    </w:t>
        <w:br/>
        <w:t xml:space="preserve">Name:    </w:t>
        <w:br/>
        <w:t xml:space="preserve">Title:    </w:t>
        <w:br/>
        <w:t xml:space="preserve">Date:    </w:t>
        <w:br/>
        <w:t xml:space="preserve">  Acknowledged and agreed as of __________________:</w:t>
        <w:br/>
        <w:t xml:space="preserve">  _______________________________</w:t>
        <w:br/>
        <w:t>[Name]</w:t>
        <w:br/>
        <w:t xml:space="preserve">    1 The options were approved by the Compensation Committee on [Date], and are being emorialized by this Option Agreement, dated [Date].</w:t>
        <w:br/>
        <w:t xml:space="preserve">        STOCK OPTION AGREEMENT</w:t>
        <w:br/>
        <w:t xml:space="preserve">  THIS STOCK OPTION AGREEMENT (together with the above grant notice (the “Grant Notice”), the “Agreement”) is made and entered into as of the date set forth on the Grant Notice by and between Immix Biopharma, Inc., a Delaware corporation (the “Company”), and the individual (the “Optionee”) set forth on the Grant Notice.</w:t>
        <w:br/>
        <w:t xml:space="preserve">  A. Pursuant to the Immix Biopharma, Inc. Amended and Restated 2021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 Service.</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 Nonqualified Stock Option.</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Grant set forth in the Grant Notice and end on the Expiration Date specified in the Grant Notice. No portion of this Option may be exercised after the expiration of the Term.</w:t>
        <w:br/>
        <w:t xml:space="preserve">  2.2.3 Except as otherwise provided in the Grant Notice,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Except as otherwise provided in the Grant Notice,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7.18 Signature in Counterparts. This Agreement may be signed in counterparts, each of which shall be an original, with the same effect as if the signatures thereto and hereto were upon the same instrument.</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7.23 Clawback of Incentive Compensation. If the Company is required to prepare an accounting restatement of its financial statements due to the Company’s material noncompliance (whether one occurrence or a series of occurrences of noncompliance) with any financial reporting requirement under the securities laws (including if the Company is required to prepare an accounting restatement to correct an error (or a series of errors)) (a “Covered Accounting Restatement”), and if such Covered Accounting Restatement includes (i) restatements that correct errors that are material to previously issued financial statements (commonly referred to as “Big R” restatements), and (ii) restatements that correct errors that are not material to previously issued financial statements, but would result in a material misstatement if (a) the errors were left uncorrected in the current report or (b) the error correction was recognized in the current period (commonly referred to as “little r” restatements), then the Committee may, in its sole discretion, require Optionee to repay (in which event, Optionee shall, within thirty (30) days of the notice by the Company, repay to the Company) or forfeit (in which case, Optionee shall immediately forfeit to the Company) to the Company, and Optionee hereby agrees to so repay or forfeit, that portion of the Incentive Compensation (as defined below) received by Optionee during the period comprised of the Company’s three (3) completed fiscal years (together with any intermittent stub fiscal year period(s) of less than nine (9) months resulting from Company’s transition to different fiscal year measurement dates) immediately preceding the date the Company is deemed (as described below) to be required to prepare a Covered Accounting Restatement (such period, the “Look-Back Period”), that the Committee determines was in excess of the amount of Incentive Compensation that Optionee would have received during such Look-Back Period, had such Incentive Compensation been calculated based on the restated amounts, and irrespective of any fault, misconduct or responsibility of Optionee for the Covered Accounting Restatement. It is specifically understood that, to the extent that the impact of the Covered Accounting Restatement on the amount of Incentive Compensation received cannot be calculated directly from the information therein (e.g., if such restatement’s impact on the Company’s stock price is not clear), such excess amount of Incentive Compensation shall be determined based on a reasonable estimate by the Committee of the effect of the Covered Accounting Restatement on the applicable financial measure (including the stock price or total shareholder return) based upon which the Incentive Compensation was received. In addition, in the case of time-based equity-based Incentive Compensation, a recoupment may occur, in the Committee’s sole discretion, if the Committee concludes that the Incentive Compensation grants, earning and/or vesting would not have been made, or would have been lower had they been based on the restated financial statements and it is possible to clearly compute the amount of such lesser award. Any decision by the Committee that no recoupment shall occur because of difficulties of computation shall not be reviewable. The amount of the Incentive Compensation to be recouped shall be determined by the Committee in its sole and absolute discretion and calculated on a pre-tax basis, and the form of such recoupment of Incentive Compensation may be made, in the Committee’s sole and absolute discretion, through the forfeiture or cancellation of vested or unvested Awards, cash repayment or both. Incentive Compensation shall be deemed received, either wholly or in part, in the fiscal year during which the financial reporting measure specified in such Incentive Compensation award is attained (or with respect to, or based upon the achievement of, such financial reporting measure, such Incentive Compensation was granted, earned or vested, as applicable), even if the payment, vesting or grant of such Incentive Compensation occurs after the end of such fiscal year. For purposes of this Section 7.23, the Company is deemed to be required to prepare a Covered Accounting Restatement on the earlier of: (A) the date upon which the Board or an applicable committee thereof, or the officer or officers of the Company authorized to take such action if Board action is not required, concludes, or reasonably should have concluded, that the Company is required to prepare a Covered Accounting Restatement; or (B) the date a court, regulator, or other legally authorized body directs the Company to prepare a Covered Accounting Restatement. For the purposes of this Agreement, “Incentive Compensation” shall mean any compensation (including any Award or any other short-term or long-term cash or equity incentive award or any other payment) that is granted, earned, or vested based wholly or in part upon the attainment of any financial reporting measure (i.e., any measures that are determined and presented in accordance with the accounting principles used in preparing the Company’s financial statements, and any measure that is derived wholly or in part from such measures, including stock price and total shareholder return). For the avoidance of doubt, financial reporting measures include “non-GAAP financial measures” for purposes of Exchange Act Regulation G and 17 CFR 229.10, as well as other measures, metrics and ratios that are not non-GAAP measures, like same store sales. Financial reporting measures may or may not be included in a filing with the Securities and Exchange Commission, and may be presented outside the Company’s financial statements, such as in Management’s Discussion and Analysis of Financial Conditions and Results of Operations or the performance 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