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w:t>
        <w:br/>
        <w:t>STOCK PURCHASE AGREEMENT</w:t>
        <w:br/>
        <w:t>STOCK PURCHASE AGREEMENT, dated as of August 7, 2024 (this “Agreement”), by and between the Person (as defined below) set forth on Schedule I attached hereto (“Seller”) and Tungsten 2024 LLC, a Delaware limited liability company (“Buyer”).</w:t>
        <w:br/>
        <w:t>RECITALS</w:t>
        <w:br/>
        <w:t>WHEREAS, Seller is (a) the beneficial and record owner of (i) the number of shares of Class A Common Stock, par value $0.0001 per share (“Class A Shares”), of CompoSecure, Inc., a Delaware corporation (the “Company”), (ii) the number of shares of Class B Common Stock, par value $0.0001 per share (“Class B Shares”), of the Company, and (iii) the number of Class B Units (“Class B Units”) of CompoSecure Holdings L.L.C., a Delaware limited liability company (“Holdings”), in each case, as set forth opposite Seller’s name on Schedule I attached hereto (such equity interests under clauses (a) through (c) above, collectively, the “Pre-Exchange Equity Interests”) and (b) are TRA Parties under the Tax Receivable Agreement (the Seller’s rights under the Tax Receivable Agreement, dated as of December 27, 2021 (the “Tax Receivable Agreement”), by and among the Company, Holdings and the other parties thereto, the “TRA Rights”);</w:t>
        <w:br/>
        <w:t>WHEREAS, upon the terms and subject to the conditions set forth in this Agreement and the Exchange Agreement, dated as of December 27, 2021 (the “Exchange Agreement”), by and among the Company, Holdings and such holders of Class B Units from time to time party thereto, and the Second Amended and Restated Certificate of Incorporation of the Company, dated as of December 27, 2021 (the “Company Charter”), Seller desires to exchange all the Class B Units set forth opposite Seller’s name on Schedule I attached hereto for Class A Shares, whereupon all of Seller’s Class B Shares shall be cancelled for no consideration, without any action on the part of any Person (collectively, the “Exchange”);</w:t>
        <w:br/>
        <w:t>WHEREAS, after giving effect to the Exchange, Seller shall be the beneficial and record owners of the number of Class A Shares set forth opposite Seller’s name on Schedule I attached hereto (the “Post-Exchange Class A Shares”);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