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Execution Version</w:t>
        <w:br/>
        <w:t>CONFIDENTIAL</w:t>
        <w:br/>
        <w:t>STOCK PURCHASE AGREEMENT</w:t>
        <w:br/>
        <w:t>This STOCK PURCHASE AGREEMENT (this “Agreement”) is being entered into as of July 23, 2023 (the “Execution Date”) by and among The RBC Millennium Trust, the Xxxxxxx X. Xxxxx Revocable Trust (together with The RBC Millennium Trust, “Sellers” and each, a “Seller”) and SVF II Strategic Investments AIV LLC, a Delaware limited liability company (“Purchaser” and, together with Sellers, the “Parties”).</w:t>
        <w:br/>
        <w:t>W I T N E S S E T H</w:t>
        <w:br/>
        <w:t>WHEREAS, each Seller is party to that certain Second Amended and Restated Limited Liability Company Agreement of Symbotic Holdings LLC, a Delaware limited liability company (“Symbotic Holdings”), dated as of June 7, 2022 (the “Symbotic Holdings LLCA”);</w:t>
        <w:br/>
        <w:t>WHEREAS, (a) The RBC Millennium Trust owns 167,907,377 Common Units of Symbotic Holdings (“Symbotic Common Units”) and (i) 6,362,808 paired shares of Class V-1 Common Stock, par value $0.0001 per share, of Symbotic Inc., a Delaware corporation (“Symbotic”) (“Symbotic Class V-1 Common Stock”), and (ii) 161,544,569 paired shares of Class V-3 Common Stock, par value $0.0001 per share, of Symbotic (“Symbotic Class V-3 Common Stock”) and (b) the Xxxxxxx X. Xxxxx Revocable Trust owns 7,029,644 Symbotic Common Units and (i) 2,058,420 paired shares of Symbotic Class V-1 Common Stock and (ii) 4,971,224 paired shares of Symbotic Class V-3 Common Stock;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