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Brandywine Global Investment Management, LLC (the “Sub-Adviser”), a Delaware limited liability company, with the Sub-Adviser’s principal place of business at 0000 Xxxxxx Xxxxxx, Xxxxx 0000, Xxxxxxxxxxxx, Xxxxxxxxxxxx 00000.</w:t>
        <w:br/>
        <w:t>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br/>
        <w:t xml:space="preserve">  NOW, THEREFORE, in consideration of the mutual covenants and benefits set forth herein, the parties do hereby agree as follows:</w:t>
        <w:br/>
        <w:t xml:space="preserve">  1. The Sub-Adviser’s Services.</w:t>
        <w:br/>
        <w:t xml:space="preserve">  (a)       Discretionary Investment Management Services. The Sub-Adviser shall act as sub-investment adviser with respect to each Fund in regard to those Fund assets as may be allocated by the Adviser to the Sub-Adviser (the “Assets”). In said capacity, the Sub-Adviser, subject to the supervision of the Adviser and the Board, regularly shall provide the Fund with investment research, advice, and supervision and shall furnish continuously an investment program, consistent with the investment objectives and policies of the Fund. The Sub-Adviser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To carry out these obligations, the Sub-Adviser shall exercise full discretion and act for the Fund in the same manner and with the same force and effect as the Fund itself might or could do with respect to purchases, sales, or other transactions, as well as with respect to all other such things necessary or incidental to the furtherance or conduct of said purchases, sales, or other transactions. No reference in this Agreement to the Sub-Adviser having full discretionary authority over the Fund’s investments in any way shall limit the right of either the Adviser or the Board, in either the Adviser’s or the Board’s respective sole discretion, to establish or revise policies in connection with the management of the Fund’s assets or to otherwise exercise either the Adviser’s or the Board’s respective right to control the overall management of the Fund’s assets. As applicable and appropriate, and without limiting the generality of the foregoing, the Sub-Adviser has the authority to enter into trading and clearing agreements on behalf of the Fund and to adhere on the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Sub-Adviser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Sub-Adviser’s business as a registered investment adviser. The Sub-Adviser also agrees to comply with the objectives, policies, and restrictions set forth in the Registration Statement, as amended or supplemented, of each Fund, and with any policies, guidelines, instructions, and procedures approved by the Board or the Adviser and provided to the Sub-Adviser. In the event that the Board or Adviser provides the Sub-Adviser with policies, guidelines, instructions and procedures that differ from the Registration Statement, such policies, guidelines, instructions and procedures shall govern. In selecting the Fund’s portfolio securities and performing the Sub-Adviser’s obligations hereunder, the Sub-Adviser shall cause the Fund to comply with the diversification and source of income requirements of Subchapter M of the Internal Revenue Code of 1986, as amended (the “Code”), for qualification as a regulated investment company. The Sub-Adviser shall maintain compliance procedures that the Sub-Adviser reasonably believes are adequate to ensure the compliance with the foregoing. No supervisory activity undertaken by the Adviser or by the Board shall limit the Sub-Adviser’s full responsibility for any of the foregoing.</w:t>
        <w:br/>
        <w:t xml:space="preserve">  (c)        Proxy Voting. Pursuant to Board authority, the Adviser has the delegated authority to determine how proxies with respect to securities that are held by each Fund shall be voted. The Adviser, and not the Sub-Adviser, is responsible for voting proxies for the Fund.</w:t>
        <w:br/>
        <w:t xml:space="preserve">  The Sub-Adviser promptly shall forward upon request to the Adviser any information or documents necessary for the Adviser to exercise the Adviser’s proxy voting responsibilities.</w:t>
        <w:br/>
        <w:t xml:space="preserve">2 </w:t>
        <w:br/>
        <w:t xml:space="preserve">    For the avoidance of doubt, the Sub-Adviser shall not be responsible for filing shareholder resolutions or engaging in corporate dialogues with respect to companies held in a Fund’s portfolio in furtherance of Adviser’s Commitment to Catholic Responsible Investments.</w:t>
        <w:br/>
        <w:t xml:space="preserve">  (d)       Recordkeeping. The Sub-Adviser shall not be responsible for the provision of administrative, bookkeeping, or accounting services to each Fund, except as otherwise provided herein or as may be necessary for the Sub-Adviser to supply to the Adviser, the Trust, or the Trust’s Board the information required to be supplied under this Agreement by Sub-Adviser.</w:t>
        <w:br/>
        <w:t xml:space="preserve">  The Sub-Adviser shall maintain separate books and detailed records of all matters pertaining to the Fund’s Assets advised by the Sub-Adviser required by Rule 31a-1 under the 1940 Act (other than those records required to be maintained by the Adviser, or any administrator, custodian, or transfer agent appointed by the Trust) relating to the Sub-Adviser’s responsibilities provided hereunder with respect to the Fund, and shall preserve said records for the periods and in a manner prescribed therefore by Rule 31a-2 under the 1940 Act (hereinafter, the “Fund Books and Records”). The Fund Books and Records shall be available to the Adviser and the Board at any time upon request, shall be delivered to the Trust upon the termination of this Agreement, and shall be available without delay during any day the Trust is open for business.</w:t>
        <w:br/>
        <w:t xml:space="preserve">  (e)       Holdings Information and Pricing. The Sub-Adviser shall provide regular reports regarding each Fund’s holdings, and, on the Sub-Adviser’s own initiative, may furnish the Adviser, the Trust, and the Trust’s Board from time to time with whatever information the Sub-Adviser believes is appropriate for this purpose. The Sub-Adviser agrees to notify the Adviser and the Board promptly if the Sub-Adviser reasonably believes that the value of any security held by a Fund may not reflect fair value. The Sub-Adviser agrees to provide, upon request, any pricing information of which the Sub-Adviser is aware to the Adviser,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Fund’s net asset value in accordance with procedures and methods established by the Board.</w:t>
        <w:br/>
        <w:t xml:space="preserve">  (f)       Cooperation With Agents of the Adviser and the Trust. The Sub-Adviser agrees to cooperate with and provide reasonable assistance to the Adviser, the Trust, any Trust custodian or foreign sub-custodians, any Trust pricing agents, and all other agents and representatives of the Adviser and the Trust with respect to such information regarding each Fund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Consultation With Other Sub-Advisers. In performance of the Sub-Adviser’s duties and obligations under this Agreement, the Sub-Adviser shall not consult with any other subadviser to a Fund or a subadviser to a portfolio that is under common control with the Fund concerning transactions for the Fund, except as permitted by the policies and procedures of the Fund. The Sub-Adviser shall not provide investment advice to any assets of the Fund other than the Assets managed by the Sub-Adviser.</w:t>
        <w:br/>
        <w:t xml:space="preserve">  3 </w:t>
        <w:br/>
        <w:t xml:space="preserve">  (h)       Legal Matters. The Sub-Adviser will not take any action or render advice involving legal action on behalf of the Fund with respect to securities or other investments held in the Fund or the issuers thereof, which become the subject of legal notices or proceedings, including securities class actions and bankruptcies.</w:t>
        <w:br/>
        <w:t xml:space="preserve">  2. Code of Ethics.</w:t>
        <w:br/>
        <w:t xml:space="preserve">  The Sub-Adviser has adopted a written code of ethics that the Sub-Adviser reasonably believes complies with the requirements of Rule 17j-1 under the 1940 Act (“Rule 17j-1”), which the Sub-Adviser has provided to the Adviser and the Trust. The Sub-Adviser shall ensure that the Sub-Adviser’s “Access Persons” (as that term is defined in the Sub-Adviser’s Code of Ethics) comply in all material respects with the Sub-Adviser’s Code of Ethics, as in effect from time to time. Upon request, the Sub-Adviser shall provide the Adviser and the Trust with (i) a copy of the Sub-Adviser’s current Code of Ethics, as in effect from time to time, and (ii) a certification that the Sub-Adviser has adopted procedures reasonably necessary to prevent Access Persons from engaging in any conduct prohibited by the Sub-Adviser’s Code of Ethics. Annually, the Sub-Adviser shall furnish a written report to the Adviser and the Trust’s Board concerning the Sub-Adviser’s Code of Ethics, which annual report shall comply with the requirements of Rule 17j-1. The Sub-Adviser shall respond to requests for information from the Adviser and the Trust as to violations of the Code by Access Persons and the sanctions imposed by the Sub-Adviser. The Sub-Adviser promptly shall notify the Adviser and the Trust of any material violation of the Code, whether or not said violation relates to a security held by a Fund.</w:t>
        <w:br/>
        <w:t xml:space="preserve">  3. Information and Reporting.</w:t>
        <w:br/>
        <w:t xml:space="preserve">  The Sub-Adviser shall provide the Adviser, the Trust, and the Adviser’s and the Trust’s respective officers with such periodic reports concerning the obligations that the Sub-Adviser has assumed under this Agreement as the Adviser and the Trust from time to time reasonably may request.</w:t>
        <w:br/>
        <w:t xml:space="preserve">  (a)       Notification of Breach / Compliance Reports. The Sub-Adviser shall notify the Trust’s Chief Compliance Officer and Adviser’s Chief Compliance Officer promptly upon detection of (i) any material failure to manage a Fund in accordance with the Fund’s investment objectives and policies or any applicable law; or (ii) any material breach of any of the Fund’s or the Sub-Adviser’s policies, guidelines, or procedures. In addition, the Sub-Adviser shall provide a quarterly report regarding each Fund’s compliance with the Fund’s investment objectives and policies, applicable law, including, but not limited to, the 1940 Act and Subchapter M of the Code, and the Fund’s and the Adviser’s policies, guidelines, or procedures as applicable to the Sub-Adviser’s obligations under this Agreement. The Sub-Adviser acknowledges and agrees that the Adviser, in the Adviser’s discretion, may provide these quarterly compliance certifications to the Board. The Sub-Adviser agrees to correct any said failure promptly and to take any action that the Board and/or the Adviser reasonably may request in connection with any said breach. Upon request, the Sub-Adviser also shall provide the officers of the Trust with supporting certifications in connection with such certifications of Fund financial statements and disclosure controls pursuant to the Xxxxxxxx-Xxxxx Act of 2002, as amended. The Sub-Adviser promptly shall notify the Trust and the Adviser in the event that: (i) the Sub-Adviser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Sub-Adviser with the federal or state securities laws; or (ii) an actual change in control of the Sub-Adviser resulting in an “assignment” (as that term is defined in the 1940 Act) has occurred or otherwise is proposed to occur.</w:t>
        <w:br/>
        <w:t xml:space="preserve">4 </w:t>
        <w:br/>
        <w:t xml:space="preserve">    (b)       Inspection. Upon reasonable request, the Sub-Adviser agrees to make the Sub-Adviser’s records and premises (including the availability of the Sub-Adviser’s employees for interviews) -- to the extent that these records relate to the conduct of services provided to each Fund or the Sub-Adviser’s conduct of the Sub-Adviser’s business as an investment adviser -- reasonably available for compliance audits by the Adviser and/or the Trust’s officers, employees, accountants, or counsel; in this regard, the Trust and the Adviser acknowledge that the Sub-Adviser shall have no obligation to make available proprietary information unrelated to the services provided by the Sub-Adviser to the Fund or any information related to other clients of the Sub-Adviser, except to the extent necessary for the Adviser to confirm the absence of any conflict of interest and compliance with any laws, rules, or regulations in the Sub-Adviser’s management of the Fund.</w:t>
        <w:br/>
        <w:t xml:space="preserve">  (c)       Board and Filings Information. The Sub-Adviser shall provide the Adviser and the Trust with any information reasonably requested regarding the Sub-Adviser’s management of each Fund required for any meeting of the Board, or for any shareholder report, Form N-CSR, Form N-Q, Form N-PX, Form N-CEN, Form N-PORT, amended registration statement, proxy statement, or prospectus supplement to be filed by the Trust with the Commission. The Sub-Adviser shall make the Sub-Adviser’s officers and employees available to meet with the Board from time to time on due notice to review the Sub-Adviser’s investment management services to the Fund in light of current and prospective economic and market conditions and shall furnish to the Board such information as may reasonably be necessary in order for the Board to evaluate this Agreement or any proposed amendments thereto.</w:t>
        <w:br/>
        <w:t xml:space="preserve">  (d)       Transaction Information. The Sub-Adviser shall furnish to the Adviser and the Trust such reasonable information concerning portfolio transactions as may be necessary to enable the Adviser, the Trust, or the Adviser’s or the Trust’s respective designated agents to perform such compliance testing on each Fund and the Sub-Adviser’s services as the Adviser and the Trust, in the Adviser’s or the Trust’s respective sole discretion, may determine to be appropriate. The provision of said information by the Sub-Adviser to the Adviser, the Trust, or the Adviser’s or the Trust’s respective designated agents in no way relieves the Sub-Adviser of the Sub-Adviser’s own responsibilities under this Agreement.</w:t>
        <w:br/>
        <w:t xml:space="preserve">  4. Brokerage.</w:t>
        <w:br/>
        <w:t xml:space="preserve">  (a)       Principal Transactions. In connection with purchases or sales of securities for the account of a Fund, neither the Sub-Adviser nor any of the Sub-Adviser’s directors, officers, or employees shall act as a principal or agent or receive any commission except as permitted by the 1940 Act.</w:t>
        <w:br/>
        <w:t xml:space="preserve">5 </w:t>
        <w:br/>
        <w:t xml:space="preserve">  (b)       Placement of Orders. The Sub-Adviser shall arrange for the placing of all orders for the purchase and sale of securities for each Fund’s account with brokers or dealers selected by the Sub-Adviser. The Sub-Adviser shall place these orders with or through such persons, brokers, or dealers chosen by the Sub-Adviser to carry out the policy with respect to brokerage set forth in the Fund’s Prospectus or as the Board or the Adviser may direct in writing from time to time, in conformity with all federal securities laws and subject to the provisions of Section 4 of this Agreement.</w:t>
        <w:br/>
        <w:t xml:space="preserve">  (c)       Best Execution. In executing Fund transactions and selecting brokers or dealers, the Sub-Adviser is directed at all times to use the Sub-Adviser’s best efforts to seek on behalf of each Fund the most-favorable execution, net price, and best overall terms available under the circumstances. In assessing the best overall terms available for any transaction, the Sub-Adviser shall consider all factors that the Sub-Adviser deems relevant, including, among other factors, the breadth of the market in the security, the price of the security, the financial condition and execution capability of the broker or dealer, and the reasonableness of the commission, if any, both for the specific transaction and on a continuing basis. The Sub-Adviser shall have the express authority to negotiate, open, continue, and terminate brokerage accounts and other trading arrangements with respect to all portfolio transactions entered into by the Sub-Adviser for a Fund.</w:t>
        <w:br/>
        <w:t xml:space="preserve">  (d)       Access To Brokerage and Research. It also is understood that it is desirable for each Fund that the Sub-Adviser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Sub-Adviser, therefore, is authorized to place orders for the purchase and sale of securities for the Fund with these brokers, subject to review by the Adviser and the Board from time to time with respect to the extent and continuation of this practice. It is understood that the services provided by these brokers may be useful to the Sub-Adviser in connection with the Sub-Adviser’s or the Sub-Adviser’s affiliates’ services to other clients.</w:t>
        <w:br/>
        <w:t xml:space="preserve">  In evaluating the best overall terms available, and in selecting the broker-dealer to execute a particular transaction, the Sub-Adviser, therefore, also may consider the “brokerage and research services” provided (as this term is defined in Section 28(e) of the 1934 Act). Consistent with any guidelines established by the Board and Section 28(e) of the 1934 Act, the Sub-Adviser is authorized to pay to a broker or dealer who provides said brokerage and research services a commission for executing a portfolio transaction for a Fund which is in excess of the amount of commission another broker or dealer would have charged for effecting that transaction if, but only if, the Sub-Adviser in good faith determines that this commission was reasonable in relation to the value of the brokerage and research services provided by the broker or dealer viewed in terms of that particular transaction or in terms of the overall responsibilities of the Sub-Adviser to the Sub-Adviser’s discretionary clients, including the Funds.</w:t>
        <w:br/>
        <w:t xml:space="preserve">  (e)       Affiliated Brokers. The Sub-Adviser or any of the Sub-Adviser’s affiliates may act as broker in connection with the purchase or sale of securities or other investments for a Fund, subject to: (a) the requirement that the Sub-Adviser seek to obtain best execution and price within the policy guidelines determined by the Board and set forth in the Fund’s current Registration Statement; (b) the provisions of the 1940 Act; (c) the provisions of the Advisers Act; (d) the provisions of the 1934 Act; and (e) other provisions of applicable law. These brokerage services are not within the scope of the duties of the Sub-Adviser under this Agreement. Subject to the requirements of applicable law and any procedures adopted by the Board, the Sub-Adviser or the Sub-Adviser’s affiliates may receive brokerage commissions, fees, or other remuneration from a Fund for these services in addition to the Sub-Adviser’s fees for services under this Agreement.</w:t>
        <w:br/>
        <w:t xml:space="preserve">6 </w:t>
        <w:br/>
        <w:t xml:space="preserve">    (f)       Aggregated Transactions. The Sub-Adviser is authorized to allocate purchase and sale orders for securities to brokers or dealers (including brokers and dealers that are affiliated with the Adviser, the Sub-Adviser, or the Trust’s principal underwriter) if the Sub-Adviser believes that the quality of the transaction and the commission are comparable to what these would be with other qualified firms. On occasions when the Sub-Adviser deems the purchase or sale of a security to be in the best interest of a Fund as well as other clients of the Sub-Adviser, the Sub-Adviser, to the extent permitted by applicable law and regulations, may aggregate the order for securities to be sold or purchased. In said event, the Sub-Adviser shall allocate securities or futures contracts so purchased or sold, as well as the expenses incurred in the transaction, in the manner the Sub-Adviser reasonably considers to be equitable and consistent with the Sub-Adviser’s fiduciary obligations to the Fund and to such other clients under the circumstances.</w:t>
        <w:br/>
        <w:t xml:space="preserve">  (g)       Reporting of Transactions. The Sub-Adviser shall provide each Fund’s custodian on each business day with information relating to all transactions concerning the Assets and shall provide the Adviser with such information upon request of the Adviser and otherwise shall cooperate with and provide reasonable assistance to the Adviser, the Trust’s administrator, the Trust’s custodians and foreign custodians, the Trust’s transfer agent and pricing agents, and all other agents and representatives of the Trust.</w:t>
        <w:br/>
        <w:t xml:space="preserve">  5. Custody.</w:t>
        <w:br/>
        <w:t xml:space="preserve">  Nothing in this Agreement shall permit the Sub-Adviser to take or receive physical possession of cash, securities, or other investments of a Fund.</w:t>
        <w:br/>
        <w:t xml:space="preserve">  6. Allocation of Charges and Expenses.</w:t>
        <w:br/>
        <w:t xml:space="preserve">  The Sub-Adviser shall bear the Sub-Adviser’s own costs of providing services hereunder. Other than as herein specifically indicated, the Sub-Adviser shall not be responsible for a Fund’s or the Adviser’s expenses, including brokerage and other expenses incurred in placing orders for the purchase and sale of securities and other investment instruments.</w:t>
        <w:br/>
        <w:t xml:space="preserve">  7. Representations, Warranties, and Covenants.</w:t>
        <w:br/>
        <w:t xml:space="preserve">  (a)       Properly Registered. The Sub-Adviser is registered as an investment adviser under the Advisers Act, and shall remain so registered for the duration of this Agreement. The Sub-Adviser is not prohibited by the Advisers Act or the 1940 Act from performing the services contemplated by this Agreement, and, to the best knowledge of the Sub-Adviser, there is no proceeding or investigation that reasonably is likely to result in the Sub-Adviser being prohibited from performing the services contemplated by this Agreement. The Sub-Adviser agrees promptly to notify the Trust of the occurrence of any event that would disqualify the Sub-Adviser from serving as an investment adviser to an investment company. The Sub-Adviser is in compliance in all material respects with all applicable federal and state law in connection with the Sub-Adviser’s investment management operations.</w:t>
        <w:br/>
        <w:t xml:space="preserve">7 </w:t>
        <w:br/>
        <w:t xml:space="preserve">    (b)       ADV Disclosure. The Sub-Adviser has electronically provided the Adviser and the Trust with a copy of Part 1 of the Sub-Adviser’s Form ADV, as most-recently filed with the Commission, and with a copy of Part 2 of the Sub-Adviser’s Form ADV, as most-recently updated, and, promptly after filing any material amendment to the Sub-Adviser’s Form ADV with the Commission or materially updating Part 2 of the Sub-Adviser’s Form ADV, shall furnish a copy of said amendments or updates to the Adviser and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Sub-Adviser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each Fund (collectively the “Disclosure Documents”), and represents and warrants that said Disclosure Documents contain or shall contain no untrue statement of any material fact and do not and shall not omit any statement of material fact required to be stated therein or necessary to make the statements therein not misleading.</w:t>
        <w:br/>
        <w:t xml:space="preserve">  (d)       Use of the Name “Catholic Responsible Investments”. Subject to the terms set forth in Section 8(a) of this Agreement, the Sub-Adviser has the right to use the name “Catholic Responsible Investments” in connection with the Sub-Adviser’s services to the Trust, and the Adviser and the Trust shall have the right to use the name “Brandywine Global Investment Management, LLC” in connection with the management and operation of each Fund until this Agreement is terminated as set forth herein. The Sub-Adviser is not aware of any threatened or existing actions, claims, litigation, or proceedings that adversely would affect or prejudice the rights of the Sub-Adviser or the Trust to use the names “Catholic Responsible Investments” and “Brandywine Global Investment Management, LLC.”</w:t>
        <w:br/>
        <w:t xml:space="preserve">  (e)       Insurance. The Sub-Adviser maintains errors and omissions insurance coverage in an appropriate amount and shall provide: (i) written notice to the Trust of any material changes in the Sub-Adviser’s insurance policies or insurance coverage; or (ii) notice if any material claims are made on the Sub-Adviser’s insurance policies. Furthermore, the Sub-Adviser, upon reasonable request, shall provide the Trust with any information that the Sub-Adviser reasonably may require concerning the amount of or scope of said insurance.</w:t>
        <w:br/>
        <w:t xml:space="preserve">  (f)       No Detrimental Agreement. The Sub-Adviser represents and warrants that the subadviser has no arrangement or understanding with any party, other than the Adviser and the Trust, that would influence the decision of the Sub-Adviser with respect to the Sub-Adviser’s selection of securities for a Fund, and that all selections shall be done in accordance with what is in the best interest of the Fund.</w:t>
        <w:br/>
        <w:t xml:space="preserve">8 </w:t>
        <w:br/>
        <w:t xml:space="preserve">    (g)       Conflicts. The Sub-Adviser shall act honestly, in good faith, and in the best interests of the Trust, including requiring any of the Sub-Adviser’s personnel with knowledge of Fund activities to place the interest of each Fund first, ahead of said personnel’s own interests, in all personal trading scenarios that may involve a conflict of interest with the Fund, consistent with the Sub-Adviser’s fiduciary duties under applicable law.</w:t>
        <w:br/>
        <w:t xml:space="preserve">  (h)       Compliance Program of the Sub-Adviser. The Sub-Adviser represents and warrants that: (a) in accordance with Rule 206(4)-7 under the Advisers Act, the Sub-Adviser has adopted and implemented and shall maintain written policies and procedures reasonably designed to prevent violation by the Sub-Adviser and the Sub-Adviser’s supervised persons (as this term is defined in the Advisers Act) of the Advisers Act and the rules that the Commission has adopted under the Advisers Act; and (b) to the extent that the Sub-Adviser’s activities or services reasonably could be expected materially to affect a Fund, the Sub-Adviser has adopted and implemented and shall maintain written policies and procedures that the Trust’s chief compliance officer determines are reasonably designed to prevent violation of the “federal securities laws” (as this term is defined in Rule 38a-1 under the 1940 Act) by the Funds and the Sub-Adviser (the policies and procedures referred to in this Section 7(h) are referred to herein as the Sub-Adviser’s “Compliance Program”).</w:t>
        <w:br/>
        <w:t xml:space="preserve">  (i)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Use of Names.</w:t>
        <w:br/>
        <w:t xml:space="preserve">  (a)       The Name “Catholic Responsible Investments”. The Adviser grants to the Sub-Adviser a limited, non-exclusive, non-sublicenseable, non-transferrable license to use the name and trademark “Catholic Responsible Investments” (the “Name”) for the duration of this Agreement or until such license is terminated by the Adviser. The foregoing authorization by the Adviser to the Sub-Adviser to use the Name is not exclusive of the right of the Adviser itself to use, or to authorize others to use, the Name; the Sub-Adviser acknowledges and agrees that, as between the Sub-Adviser and the Adviser, (i) the Adviser has the right to use, or authorize others to use, the Name (ii) the Adviser is the sole owner of the Name, all rights therein and all goodwill associated therewith, and (iii) all rights arising from use of the name by the Trust shall inure to the benefit of the Adviser. The Sub-Adviser shall use the Name only in a manner consistent with uses approved by the Adviser. Notwithstanding the foregoing, neither the Sub-Adviser nor any affiliate or agent of the subadviser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each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said affiliates or agents provide to the Sub-Adviser or to a Fund under this Agreement. The Adviser has obtained all licenses and permissions necessary for the Sub-Adviser to use any index data provided to the Sub-Adviser by the Adviser or Adviser’s agent under this Agreement and the Sub-Adviser is not required to obtain any said licenses or permissions itself.</w:t>
        <w:br/>
        <w:t xml:space="preserve">9 </w:t>
        <w:br/>
        <w:t xml:space="preserve">    The Trust grants to the Sub-Adviser a sub-license to use a Fund’s name or the Funds’ names (collectively, a “Fund Name”). The foregoing authorization by the Trust to the Sub-Adviser to use a Fund Name is not exclusive of the right of the Adviser itself to use, or to authorize others to use, a Fund Name. The Sub-Adviser shall use a Fund Name only in a manner consistent with uses approved by the Trust. The Sub-Adviser hereby agrees to make all reasonable efforts to cause any affiliate or agent of the Sub-Adviser to satisfy the foregoing obligation in connection with any services said affiliates or agents provide to the Sub-Adviser or to a Fund under this Agreement.</w:t>
        <w:br/>
        <w:t xml:space="preserve">  (b)        The Name “Brandywine Global Investment Management, LLC.” The Sub-Adviser grants to the Adviser and Trust a sub-license to use the name “Brandywine Global Investment Management, LLC” (the “Sub-Adviser Name”) in connection with the Funds. The foregoing authorization by the Sub-Adviser to the Adviser to use the Sub-Adviser Name is not exclusive of the right of the Sub-Adviser itself to use, or to authorize others to use, the Sub-Adviser Name; the Adviser acknowledges and agrees that, as between the Adviser and the Sub-Adviser, the Sub-Adviser has the right to use, or authorize others to use, the Sub-Adviser Name. The Adviser shall use the Sub-Adviser Name only in a manner consistent with uses approved by the Sub-Adviser. Notwithstanding the foregoing, neither the Adviser nor any affiliate or agent of the Adviser shall make reference to or use the Sub-Adviser Name or any of the Sub-Adviser’s respective affiliates or clients names without the prior approval of the Sub-Adviser, which approval shall not be unreasonably withheld or delayed. The Adviser hereby agrees to make all reasonable efforts to cause the Trust and any affiliate or agent of the Adviser to satisfy the foregoing obligation. The sub-license granted herein in regard to a Fund shall terminate in the event that the Sub-Adviser no longer is a sub-adviser to the Fund.</w:t>
        <w:br/>
        <w:t xml:space="preserve">  9. Sub-Adviser’s Compensation.</w:t>
        <w:br/>
        <w:t xml:space="preserve">  The Adviser shall pay to the Sub-Adviser, as compensation for the Sub-Adviser’s services hereunder, a fee, determined as described in Schedule A that is attached hereto and made a part hereof. Said fee shall be computed daily and paid not less than quarterly in arrears by the Adviser. A Fund shall have no responsibility for any fee payable to the Sub-Adviser.</w:t>
        <w:br/>
        <w:t xml:space="preserve">  The Sub-Adviser shall be compensated based on the portion of Fund Assets allocated to the Sub-Adviser by the Adviser. The method for determining net assets of a Fund for purposes hereof shall be the same as the method for determining net assets for purposes of establishing the offering and redemption prices of Fund shares as described in the Fund’s prospectus. During the initial term for which this Agreement becomes effective, the fee provided in this Section shall be subject to a pro rata adjustment based on the number of days the Agreement is effective during the quarter. In the event of termination of this Agreement, the fee provided in this Section shall be computed on the basis of the period ending on the last business day on which this Agreement is in effect subject to a pro rata adjustment based on the number of days elapsed in the current quarter as a percentage of the total number of days in said quarter.</w:t>
        <w:br/>
        <w:t xml:space="preserve">10 </w:t>
        <w:br/>
        <w:t xml:space="preserve">    10.       Independent Contractor.</w:t>
        <w:br/>
        <w:t xml:space="preserve">  In the performance of the Sub-Adviser’s duties hereunder, the Sub-Adviser is and shall be an independent contractor and, unless otherwise expressly provided herein or otherwise authorized in writing, shall have no authority to act for or represent a Fund, the Trust, or the Adviser in any way or otherwise be deemed to be an agent of the Fund, the Trust, or the Adviser. If any occasion should arise in which the Sub-Adviser gives any advice to the Sub-Adviser’s clients concerning the shares of a Fund, the Sub-Adviser shall act solely as investment counsel for said clients and not in any way on behalf of the Fund.</w:t>
        <w:br/>
        <w:t xml:space="preserve">  11.       Assignment and Amendments.</w:t>
        <w:br/>
        <w:t xml:space="preserve">  This Agreement automatically shall terminate, without the payment of any penalty, either: (i) in the event of the Agreement’s “assignment” (as that term is defined in Section 2(a)(4) of the 1940 Act); or (ii) in the event of the termination of the Management Agreement; provided, that said termination shall not relieve the Adviser or the Sub-Adviser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Sub-Adviser and the Trust; or</w:t>
        <w:br/>
        <w:t xml:space="preserve">  (c)       The Sub-Adviser at any time may terminate this Agreement by not more than sixty (60) days’ nor less than thirty (30) days’ written notice delivered or mailed by registered mail, postage prepaid, to the Adviser and the Trust; or</w:t>
        <w:br/>
        <w:t xml:space="preserve">  (d)       This Agreement automatically shall terminate two (2) years from the date of the Agreement’s execution unless the Agreement’s renewal specifically is approved at least annually thereafter by: (i) a majority vote of the Trustees, including a majority vote of said Trustees who are not interested persons of the Trust, the Adviser, or the Sub-Adviser, at a meeting called for the purpose of voting on said approval; or (ii) the vote of a majority of the outstanding voting securities of the Fund; provided, however, that, if the continuance of this Agreement is submitted to the shareholders of the Fund for the shareholders’ approval and said shareholders fail to approve said continuance of this Agreement as provided herein, the Sub-Adviser may continue to serve hereunder as to the Fund in a manner consistent with the 1940 Act and the rules and regulations thereunder; and</w:t>
        <w:br/>
        <w:t xml:space="preserve">11 </w:t>
        <w:br/>
        <w:t xml:space="preserve">    (e)        Termination of this Agreement pursuant to this Section shall be without payment of any penalty.</w:t>
        <w:br/>
        <w:t xml:space="preserve">  In the event of termination of this Agreement for any reason, the Sub-Adviser, immediately upon notice of termination or on such later date as may be specified in said notice, shall cease all activity on behalf of a Fund and with respect to any of the Fund’s assets, except as expressly directed by the Adviser or as otherwise required by any fiduciary duties of the Sub-Adviser under applicable law. In addition, the Sub-Adviser shall deliver the Fund’s Books and Records to the Adviser and the Trust by such means and in accordance with such schedule as the Adviser and the Trust, respectively, shall direct and otherwise shall cooperate, as reasonably directed by the Adviser and the Trust, in the transition of portfolio asset management to any successor of the Sub-Adviser, including the Adviser. Notwithstanding the foregoing Sub-Adviser may keep copies of all Books and Records as required by any applicable regulatory authority.</w:t>
        <w:br/>
        <w:t xml:space="preserve">  13.       Certain Definitions.</w:t>
        <w:br/>
        <w:t xml:space="preserve">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Sub-Adviser.</w:t>
        <w:br/>
        <w:t xml:space="preserve">  (a)       The Sub-Adviser shall have responsibility for the accuracy and completeness (and liability for the lack thereof) of statements in a Fund’s Disclosure Documents relating to the Sub-Adviser and the Sub-Adviser’s affiliates, the Fund’s investment strategies and related risks, and other information supplied by the Sub-Adviser for inclusion therein.</w:t>
        <w:br/>
        <w:t xml:space="preserve">  (b)       The Sub-Adviser shall be liable to a Fund for any loss (including transaction costs) incurred by the Fund as a result of any investment or trade error (excluding any error that may have occurred as a result of market movement) made by the Sub-Adviser in contravention of: (i) any investment policy, guideline, or restriction set forth in the Registration Statement or as approved by the Board from time to time and provided to the Sub-Adviser;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12 </w:t>
        <w:br/>
        <w:t xml:space="preserve">    (c)       The Sub-Adviser shall indemnify and hold harmless the Adviser,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Sub-Adviser of this Agreement or of the representations and warranties made by the Sub-Adviser herein; (ii) any Improper Investment; (iii) any untrue statement of a material fact by the Sub-Adviser contained in any Disclosure Document relating to the Sub-Adviser and the Sub-Adviser’s affiliates, each Fund’s investment strategies and related risks, and other information supplied by Sub-Adviser for inclusion therein, or the omission by the Sub-Adviser from a Disclosure Document of a material fact regarding the Sub-Adviser or the Sub-Adviser’s investment program required to be stated therein or necessary to make the statements therein not misleading; or (iv) the Sub-Adviser’s performance or non-performance of the Sub-Adviser’s duties hereunder; provided, however, that nothing herein shall be deemed to protect any Indemnified Party who is a Trustee or officer of the Trust against any liability to the Trust or to the Trust’s shareholders to which said Indemnified Party otherwise would be subject by reason or willful misfeasance, bad faith, gross negligence, or reckless disregard of the duties involved in the conduct of said person’s office with the Trust. In addition, the Sub-Adviser does not guarantee the future performance of the Fund or any specific level of performance, the success of any investment decision or strategy that the Sub-Adviser may use, or the success of the Sub-Adviser’s overall management of the Fund. The Trust understands and acknowledges that investment decisions made for the Fund are subject to various market, currency, economic and business risks, and that those investment decisions will not always be profitable or even successful.</w:t>
        <w:br/>
        <w:t xml:space="preserve">  (d)       The Adviser agrees to indemnify and hold harmless the Sub-Adviser from and against any and all claims, losses, expenses, obligations and liabilities (including reasonable attorney’s fees) to which the Sub-Adviser may become subject directly arising out of or resulting from, the Adviser’s willful misfeasance, bad faith or gross negligence in the performance of its obligations and duties under this Agreement, or by reason of its reckless disregard of its obligations and duties under this Agreement.</w:t>
        <w:br/>
        <w:t xml:space="preserve">  15. Confidentiality.</w:t>
        <w:br/>
        <w:t xml:space="preserve">  (a)       From time to time, a party may disclose, exchange, or make available, the party’s “Confidential Information” (as that term is defined below) to the other parties. For purposes of this Agreement, “Confidential Information” shall mean any information, data, or materials pertaining to a party’s (“Discloser”) or the party’s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13 </w:t>
        <w:br/>
        <w:t xml:space="preserve">  (b)       Confidential Information shall NOT include: (a) any information that is or becomes generally available to the public through no breach of this Agreement by recipient (“Recipient”); (b) any information that is disclosed to Recipient on a non-confidential basis by a third party who, to Recipient’s knowledge after due inquiry, has legitimate possession thereof and the unrestricted right to make this disclosure; and (c) any information developed by Recipient independently of, and without reference to, any Confidential Information disclosed by Discloser to Recipient.</w:t>
        <w:br/>
        <w:t xml:space="preserve">  (c)       Recipient acknowledges that any Confidential Information provided by Discloser shall be used by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Recipient agrees: (a) to take reasonable steps to safeguard the Confidential Information from theft, piracy, or unauthorized access, and to hold the Confidential Information in strict confidence and secrecy using at least the same level of care and protection against disclosure as Recipient uses in protecting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Discloser, other than as set forth in (e) below; (d) to inform third-party recipients of the confidential nature of the Confidential Information; and (e) to disclose Confidential Information to Recipient’s officers, directors, representatives, agents, or employees only on a “need-to-know” basis and to inform these individuals of their obligations under this Agreement, taking such steps as may be reasonable in the circumstances, or as may be reasonably requested by Discloser, to prevent any unauthorized disclosure, copying, or use of the Confidential Information. Neither Discloser nor any of Discloser’s officers, directors, employees, or controlling persons make any express or implied representation or warranty as to the completeness and accuracy of any Confidential Information, and Recipient agrees that none of these persons shall have any liability to Recipient or any of Recipient’s representatives and agents relating to or arising from the use of any Confidential Information or for any errors therein or omissions therefrom.</w:t>
        <w:br/>
        <w:t xml:space="preserve">  (d)       Recipient acknowledges that any Confidential Information provided pursuant to this Agreement constitutes unique, valuable, and special business of Discloser. Recipient agrees that a violation of any material provision of this Agreement may cause Discloser irreparable injury for which Discloser would have no adequate remedy at law, and agrees that Discloser may be entitled to seek immediate injunctive relief prohibiting said violation, without bond, in addition to any other rights and remedies available to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Recipient shall provide the Discloser with prompt written notice of said request or requirement for disclosure, unless prevented by applicable law or regulation. If requested, Recipient shall reasonably cooperate at Discloser’s expense in defending against any said court or administrative order.</w:t>
        <w:br/>
        <w:t xml:space="preserve">14 </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16.       Enforceability.</w:t>
        <w:br/>
        <w:t xml:space="preserve">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w:t>
        <w:br/>
        <w:t xml:space="preserve">  The parties to this Agreement acknowledge and agree that all litigation arising hereunder, whether direct or indirect, and of any and every nature whatsoever shall be satisfied solely out of the assets of a Fund and that no Trustee, officer or holder of shares of beneficial interest of the Fund shall be personally liable for any of the foregoing liabilities.</w:t>
        <w:br/>
        <w:t xml:space="preserve">  18.        Change In the Sub-Adviser’s Ownership.</w:t>
        <w:br/>
        <w:t xml:space="preserve">  The Sub-Adviser agrees that the Sub-Adviser shall notify the Trust of any anticipated or otherwise reasonably foreseeable change in the ownership of the Sub-Adviser that could: (i) materially impact the services provided by the Sub-Adviser to a Fund, or (ii) that could result in a change of control under Section 15(a)(4) of the 1940 Act, within a reasonable time prior to said change being effected.</w:t>
        <w:br/>
        <w:t xml:space="preserve">  19.       Jurisdiction.</w:t>
        <w:br/>
        <w:t xml:space="preserve">  This Agreement shall be governed by and construed in accordance with the substantive laws of the State of Delaware, and the Sub-Adviser consents to the jurisdiction of courts, both state and federal, in Delaware, with respect to any dispute under this Agreement.</w:t>
        <w:br/>
        <w:t xml:space="preserve">  20.       Paragraph Headings.</w:t>
        <w:br/>
        <w:t xml:space="preserve">  The headings of paragraphs contained in this Agreement are provided for convenience only, form no part of this Agreement, and shall not affect this Agreement’s construction.</w:t>
        <w:br/>
        <w:t xml:space="preserve">15 </w:t>
        <w:br/>
        <w:t xml:space="preserve">    21.       Counterparts.</w:t>
        <w:br/>
        <w:t xml:space="preserve">  This Agreement may be executed simultaneously in two or more counterparts, each of which shall be deemed an original, but all of which together shall constitute one and the same instrument.</w:t>
        <w:br/>
        <w:t xml:space="preserve">  [REMAINDER OF PAGE INTENTIONALLY LEFT BLANK]</w:t>
        <w:br/>
        <w:t xml:space="preserve">  16 </w:t>
        <w:br/>
        <w:t xml:space="preserve">  PURSUANT TO AN EXEMPTION FROM THE COMMODITY FUTURES TRADING COMMISSION IN CONNECTION WITH ACCOUNTS OF QUALIFIED ELIGIBLE PERSONS, THIS BROCHURE OR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BROCHURE OR ACCOUNT DOCUMENT.</w:t>
        <w:br/>
        <w:t xml:space="preserve">  IN WITNESS WHEREOF, the parties hereto have caused this instrument to be signed on their behalf by their duly authorized officers as of the date first above written.</w:t>
        <w:br/>
        <w:t xml:space="preserve">  CHRISTIAN BROTHERS INVESTMENT SERVICES, INC.</w:t>
        <w:br/>
        <w:t xml:space="preserve">  By: /s/ Xxxxxxx X. XxXxxx  </w:t>
        <w:br/>
        <w:t xml:space="preserve">Name: Xxxxxxx X. XxXxxx  </w:t>
        <w:br/>
        <w:t xml:space="preserve">Title: President and Chief Executive Officer  </w:t>
        <w:br/>
        <w:t xml:space="preserve">  BRANDYWINE GLOBAL INVESTMENT MANAGEMENT, LLC</w:t>
        <w:br/>
        <w:t xml:space="preserve">  By: /s/ Xxxx X. Xxxxxxxx  </w:t>
        <w:br/>
        <w:t xml:space="preserve">Name: Xxxx X. Xxxxxxxx  </w:t>
        <w:br/>
        <w:t xml:space="preserve">Title Chief Administrative Officer  </w:t>
        <w:br/>
        <w:t xml:space="preserve">  ACKNOWLEDGED &amp; ACCEPTED BY:</w:t>
        <w:br/>
        <w:t xml:space="preserve">  CATHOLIC RESPONSIBLE INVESTMENTS FUNDS</w:t>
        <w:br/>
        <w:t xml:space="preserve">  By: /s/ Xxxxxxx X. Xxxxxxx  </w:t>
        <w:br/>
        <w:t xml:space="preserve">Name: Xxxxxxx X. Xxxxxxx  </w:t>
        <w:br/>
        <w:t xml:space="preserve">Title: President  </w:t>
        <w:br/>
        <w:t xml:space="preserve">  17 </w:t>
        <w:br/>
        <w:t xml:space="preserve">  SCHEDULE A</w:t>
        <w:br/>
        <w:t>to the</w:t>
        <w:br/>
        <w:t>SUB-ADVISORY AGREEMENT</w:t>
        <w:br/>
        <w:t>dated November 17, 2021, between</w:t>
        <w:br/>
        <w:t xml:space="preserve">  CHRISTIAN BROTHERS INVESTMENT SERVICES, INC.</w:t>
        <w:br/>
        <w:t>and</w:t>
        <w:br/>
        <w:t>BRANDYWINE GLOBAL INVESTMENT MANAGEMENT, LLC</w:t>
        <w:br/>
        <w:t xml:space="preserve">  The Adviser shall pay to the Sub-Adviser as compensation for the Sub-Adviser’s services rendered, a fee, computed daily at an annual rate based on the average daily net assets of the respective Fund as may be allocated by the Adviser to the Sub-Adviser from time to time in accordance with the following fee schedule:</w:t>
        <w:br/>
        <w:t xml:space="preserve">  Funds</w:t>
        <w:br/>
        <w:t xml:space="preserve">  [Redacted]</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