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 xml:space="preserve">  SUB-ADVISORY AGREEMENT</w:t>
        <w:br/>
        <w:t>with</w:t>
        <w:br/>
        <w:t>Vident Advisory, LLC d/b/a Vident Asset Management</w:t>
        <w:br/>
        <w:t xml:space="preserve">  This Investment Sub-Advisory Agreement (the “Agreement”) is made as of this [ ] day of [ ], 2024 by and among WEBS Investments Inc., a Delaware corporation with its principal place of business at 0000 Xxxxx Xxxxxxx Xxxxx, Xxxx Xxxx, Xxxx 00000(the “Adviser”), WEBs ETF Trust (the “Trust”), and Vident Advisory, LLC (doing business as Vident Asset Management), a Delaware limited liability company with its principal place of business located at 0000 Xxxxxxxxx Xxxxxxx, Xxxxx 000, Xxxxxxxxxx, Xxxxxxx 00000 (the “Sub-Adviser”).</w:t>
        <w:br/>
        <w:t xml:space="preserve">  W I T N E S S E T H</w:t>
        <w:br/>
        <w:t xml:space="preserve">  WHEREAS, the Trust is an open-end management investment company, registered as such under the Investment Company Act of 1940, as amended (the “1940 Act”); and</w:t>
        <w:br/>
        <w:t xml:space="preserve">  WHEREAS, the Adviser is registered as an investment adviser under the Investment Advisers Act of 1940, as amended (the “Advisers Act”); and</w:t>
        <w:br/>
        <w:t xml:space="preserve">  WHEREAS, the Adviser has entered into an Investment Management Agreement dated November [18], 2024 (the “Management Agreement”); and</w:t>
        <w:br/>
        <w:t xml:space="preserve">  WHEREAS, the Sub-Adviser is registered as an investment adviser under the Advisers Act and is engaged in the business of supplying investment advice as an independent contractor; and</w:t>
        <w:br/>
        <w:t xml:space="preserve">  WHEREAS, the Management Agreement contemplates that the Adviser may appoint a sub-adviser to perform some or all of the services for which the Adviser is responsible; and</w:t>
        <w:br/>
        <w:t xml:space="preserve">  WHEREAS, the Sub-Adviser is willing to furnish such services to the Adviser and the Funds listed in Schedule A to this Agreement (each a “Fund” and, collectively, the “Funds”), as such Schedule may be amended from time to time upon mutual agreement of the parties;</w:t>
        <w:br/>
        <w:t xml:space="preserve">  NOW, THEREFORE, in consideration of the mutual covenants and benefits set forth herein, the parties do hereby agree as follows:</w:t>
        <w:br/>
        <w:t xml:space="preserve">  1. Duties of the Sub-Adviser. Subject to supervision and oversight of the Adviser and the Board of Trustees (the “Board”), and in accordance with the terms and conditions of the Agreement, the Sub-Adviser shall manage all of the assets of the Funds entrusted to it hereunder (the “Assets”), including the purchase, retention and disposition of the Assets, in accordance with the Funds’ respective investment objectives, guidelines, policies and restrictions as stated in each Fund’s prospectus and statement of additional information, as currently in effect and as amended or supplemented from time to time (referred to collectively as the “Prospectus”), the standards (if applicable) to each Fund to qualify as a “regulated investment company” under Subchapter M of the Internal Revenue Code of 1986, as amended (“Code”), and applicable law, regulations and interpretations and exemptions from the foregoing, and subject to the following:</w:t>
        <w:br/>
        <w:t xml:space="preserve">  (a) The Sub-Adviser shall, subject to subparagraph (b), determine from time to time what Assets will be purchased, retained or sold by the Funds, and what portion of the Assets will be invested or held uninvested in cash as is permissible.</w:t>
        <w:br/>
        <w:t xml:space="preserve">    (b) In the performance of its duties and obligations under this Agreement, the Sub-Adviser shall act in the best interest of the Fund and in conformity with the Trust’s governing documents, the relevant Fund Prospectus, the written instructions and directions of the Adviser and of the Board, the terms and conditions of exemptive and no-action relief granted to the Adviser and the Trust, and the Trust’s policies and procedures provided to the Sub-Adviser and will conform to and comply with the requirements of the 1940 Act, the Advisers Act, the Commodity Exchange Act of 1936, as amended (the “CEA”), the Internal Revenue Code of 1986, as amended (the “Code”), and all other applicable federal and state laws and regulations, as each is amended from time to time.</w:t>
        <w:br/>
        <w:t xml:space="preserve">  (c) The Sub-Adviser shall determine the Assets to be purchased or sold by the Funds as provided in subparagraph (a) and will place orders with or through such persons, brokers or dealers to carry out the policy with respect to brokerage set forth in each Fund’s respective Prospectus or as the Board or the Adviser may direct in writing from time to time, in conformity with all federal securities laws. The Sub-Adviser may also arrange for, in respect of the Funds, futures contract, derivative instrument and transaction, swap, spot or forward transaction (whether in relation to currency or any other property). The Sub-Adviser may open and maintain brokerage accounts of all types on behalf of and in the name of the Funds. The Sub-Adviser may enter into standard customer agreements with brokers and direct payments of cash, cash equivalents and securities and other property into such brokerage accounts as the Sub-Adviser deems desirable and appropriate. The Funds agree that any entity or person associated with Adviser or Sub-Adviser that is a member of a national securities exchange is authorized to effect any transaction on such exchange for the account of the Funds that is permitted by Section 11(a) of the Exchange Act, and the Funds consent to the retention of compensation for such transactions. In executing Fund transactions and selecting brokers or dealers, the Sub-Adviser will use its best efforts to seek on behalf of each Fund the best execution and overall terms available. In assessing the best overall terms available for any transaction, the Sub-Adviser shall consider all factors that it deems relevant, including the breadth of the market in the security, the price of the security, the financial condition and execution capability of the broker or dealer, and the reasonableness of the commission, if any, both for the specific transaction and on a continuing basis. In evaluating the best overall terms available, and in selecting the broker-dealer to execute a particular transaction, the Sub-Adviser may also consider the brokerage and research services provided (as those terms are defined in Section 28(e) of the Securities Exchange Act of 1934, as amended (the “Exchange Act”)). Consistent with any guidelines established by the Board and Section 28(e) of the Exchange Act, as amended, the Sub-Adviser is authorized to pay to a broker or dealer who provides such brokerage and research services a commission for executing a portfolio transaction for a Fund which is in excess of the amount of commission another broker or dealer would have charged for effecting that transaction if, but only if, the Sub-Adviser determines in good faith that such commission was reasonable in relation to the value of the brokerage and research services provided by such broker or dealer viewed in terms of that particular transaction or in terms of the overall responsibilities of the Sub-Adviser to its discretionary clients, including the Fund. In addition, the Sub-Adviser is authorized to allocate purchase and sale orders for securities to brokers or dealers (including, with the prior approval of the Board, brokers and dealers that are affiliated with the Adviser, Sub-Adviser or the Trust’s principal underwriter) if the Sub-Adviser believes that the quality of the transaction and the commission are comparable to what they would be with other qualified firms. In no instance, however, will the Assets be purchased from or sold to the Adviser, Sub-Adviser, the Trust’s principal underwriter, or any affiliated person of the Trust, Adviser, the Sub-Adviser or the principal underwriter, acting as principal in the transaction, except to the extent permitted by the U.S. Securities and Exchange Commission (“SEC”) and the 1940 Act.</w:t>
        <w:br/>
        <w:t xml:space="preserve">  2</w:t>
        <w:br/>
        <w:t xml:space="preserve">  (d) The Sub-Adviser shall maintain all books and records with respect to transactions involving the Assets required by subparagraphs (b)(1), (5), (6), (7), (8), (9) and (10) and paragraph (f) of Rule 31a-1 under the 1940 Act. The Sub-Adviser shall keep the books and records relating to the Assets required to be maintained by the Sub-Adviser under this Agreement and shall timely furnish to the Adviser all information relating to the Sub-Adviser’s services under this Agreement needed by the Adviser to keep the other books and records of the Fund required by Rule 31a-1 under the 1940 Act, as requested by the Adviser. The Sub-Adviser agrees that all records that it maintains on behalf of a Fund are property of the Fund and the Sub-Adviser will surrender promptly to the Fund any of such records upon the Fund’s request; provided, however, that the Sub-Adviser may retain a copy of such records. In addition, for the duration of this Agreement, the Sub-Adviser shall preserve for the periods prescribed by Rule 31a-2 under the 1940 Act any such records as are required to be maintained by it pursuant to this Agreement, and shall transfer said records to any successor sub-adviser upon the termination of this Agreement (or, if there is no successor sub-adviser, to the Adviser).</w:t>
        <w:br/>
        <w:t xml:space="preserve">  (e) The Sub-Adviser shall provide the Fund’s custodian on each business day with information relating to all transactions concerning the Assets and shall provide the Adviser with such information upon request of the Adviser and shall otherwise cooperate with and provide reasonable assistance to the Adviser, the Trust’s administrator, the Trust’s custodian and foreign custodians, the Trust’s transfer agent and pricing agents and all other agents and representatives of the Trust. The Sub-Adviser shall not hold, or have custody of, any asset of the Fund (or the Fund’s documents of title, if any) on behalf of the Fund or the Sub-Adviser.</w:t>
        <w:br/>
        <w:t xml:space="preserve">  (f) The Adviser acknowledges that the Sub-Adviser performs investment advisory services for various other clients in addition to the Funds and, to the extent it is consistent with applicable law and the Sub-Adviser’s fiduciary obligations, the Sub-Adviser may give advice and take action with respect to any of those other clients that may differ from the advice given or the timing or nature of action taken for a particular Fund.</w:t>
        <w:br/>
        <w:t xml:space="preserve">  3</w:t>
        <w:br/>
        <w:t xml:space="preserve">  (g) The Sub-Adviser shall promptly notify the Adviser of any financial condition that is reasonably and foreseeably likely to impair the Sub-Adviser’s ability to fulfill its commitment under this Agreement.</w:t>
        <w:br/>
        <w:t xml:space="preserve">  (h) The Sub-Adviser will have no proxy voting authority and no obligation to advise, initiate or take any other action on behalf of the Adviser, the Funds or the Assets in any legal proceedings (including, without limitation, class actions and bankruptcies) relating to the securities comprising the Assets or any other matter. Sub-Adviser will not file proofs of claims relating to the securities comprising the Assets or any other matter and will not notify the Adviser, the Funds or the Trust’s custodian of class action settlements or bankruptcies relating to the Assets.</w:t>
        <w:br/>
        <w:t xml:space="preserve">  (i) The Sub-Adviser shall be responsible for managing the portion of each Fund allocated by the Adviser to the Sub-Adviser. In performance of its duties and obligations under this Agreement, the Sub-Adviser shall not consult with any other sub-adviser to the Funds or a sub-adviser to a portfolio that is under common control with the Funds concerning the Assets, except as permitted by the policies and procedures of the Funds. The Sub-Adviser shall not provide investment advice to any assets of the Funds other than the Assets which it sub-advises.</w:t>
        <w:br/>
        <w:t xml:space="preserve">  (j) On occasions when the Sub-Adviser deems the purchase or sale of a security to be in the best interest of the Funds as well as other clients of the Sub-Adviser, the Sub-Adviser may, to the extent permitted by applicable law and regulations, aggregate the order for securities to be sold or purchased. In such event, the Sub-Adviser will allocate securities so purchased or sold, as well as the expenses incurred in the transaction, in a manner the Sub-Adviser reasonably considers to be equitable and consistent with its fiduciary obligations to the Fund and to such other clients under the circumstances.</w:t>
        <w:br/>
        <w:t xml:space="preserve">  (k) The Sub-Adviser shall maintain books and records with respect to its services to the Trust and the Funds’ securities transactions and keep the Board and the Adviser fully informed on an ongoing basis as agreed by the Adviser and the Sub-Adviser of all material facts concerning the Sub-Adviser and its key investment personnel providing services with respect to the Funds and the investment and the reinvestment of the Assets of the Funds. The Sub-Adviser shall cooperate with any regulatory or compliance examinations or inspections (including information requests) and furnish to the Adviser or the Board such reasonably requested regular, periodic and special reports, balance sheets or financial information, and such other information with regard to its affairs as the Adviser or Board may reasonably request and the Sub-Adviser will attend meetings with the Adviser and/or the Trustees, as reasonably requested, to discuss the foregoing. Upon the request of the Adviser, the Sub-Adviser shall also furnish to the Adviser any other information relating to the Assets that is required to be filed by the Adviser or the Trust with the SEC or sent to shareholders under the 1940 Act (including the rules adopted thereunder) or any exemptive or other relief that the Adviser or the Trust obtains from the SEC.</w:t>
        <w:br/>
        <w:t xml:space="preserve">  4</w:t>
        <w:br/>
        <w:t xml:space="preserve">  (l) The fair valuation of securities in a Fund may be required when the Adviser becomes aware of significant events that may affect the pricing of all or a portion of a Fund’s portfolio. The Sub-Adviser will provide assistance in determining the fair value of the Assets, as necessary and reasonably requested by the Adviser or its agent, and use reasonable efforts to arrange for the provision of valuation information or a price(s) from a party(ies) independent of the Sub-Adviser if market prices are not readily available, it being understood that the Sub-Adviser will not be solely responsible for determining the value of any such security.</w:t>
        <w:br/>
        <w:t xml:space="preserve">  (m) The Sub-Adviser will provide information, as necessary and reasonably requested by the Adviser or its agent, with respect to any component of the liquidity risk management program adopted by the Fund(s) in accordance with Rule 22e-4 under the 1940 Act.</w:t>
        <w:br/>
        <w:t xml:space="preserve">  2. Duties of the Adviser. The Adviser shall continue to have responsibility for all services to be provided to the Funds pursuant to the Management Agreement and shall oversee and review the Sub-Adviser’s performance of its duties under this Agreement; provided, however, that in connection with its management of the Assets, nothing herein shall be construed to relieve the Sub-Adviser of responsibility for compliance with the Prospectus, the written instructions and directions of the Adviser and the Board, the requirements of the 1940 Act, the Code, and all other applicable federal laws and regulations, as each is amended from time to time.</w:t>
        <w:br/>
        <w:t xml:space="preserve">  3. Delivery of Documents. The Adviser has furnished and the Sub-Adviser acknowledges that it has received copies of each of the following documents:</w:t>
        <w:br/>
        <w:t xml:space="preserve">  (a) The Trust’s Agreement and Declaration of Trust (such Agreement and Declaration of Trust, as in effect on the date of this Agreement and as amended from time to time, herein called the “Declaration of Trust”);</w:t>
        <w:br/>
        <w:t xml:space="preserve">  (b) Amended and Restated By-Laws of the Trust (such By-Laws, as in effect on the date of this Agreement and as amended from time to time, are herein called the “By-Laws”);</w:t>
        <w:br/>
        <w:t xml:space="preserve">  (c) Prospectus and Statement of Additional Information of each Fund, as amended from time to time;</w:t>
        <w:br/>
        <w:t xml:space="preserve">  (d) Resolutions of the Board approving the engagement of the Sub-Adviser as a sub-adviser to each Fund;</w:t>
        <w:br/>
        <w:t xml:space="preserve">  (e) Resolutions, policies and procedures adopted by the Board with respect to the Assets to the extent such resolutions, policies and procedures may affect the duties of the Sub-Adviser hereunder;</w:t>
        <w:br/>
        <w:t xml:space="preserve">  (f) A list of the Trust’s principal underwriter and each affiliated person of the Adviser, the Trust or the principal underwriter; and</w:t>
        <w:br/>
        <w:t xml:space="preserve">  (g) The terms and conditions of exemptive and no-action relief granted to the Trust, as amended from time to time.</w:t>
        <w:br/>
        <w:t xml:space="preserve">  5</w:t>
        <w:br/>
        <w:t xml:space="preserve">  The Adviser shall promptly furnish the Sub-Adviser from time to time with copies of all amendments of or supplements to the foregoing. Until so provided, the Sub-Adviser may continue to rely on those documents previously provided. The Adviser shall not, and shall not permit any of the Funds to use the Sub-Adviser’s name or make representations regarding Sub-Adviser or its affiliates without prior written consent of Sub-Adviser, such consent not to be unreasonably withheld. Notwithstanding the foregoing, the Sub-Adviser’s approval is not required when the information regarding the Sub-Adviser used by the Adviser or the Fund is limited to information disclosed in materials provided by the Sub-Adviser to the Adviser in writing specifically for use in the Fund’s registration statement, as amended or supplemented from time to time, or in Fund shareholder reports or proxy statements and the information is used (a) as required by applicable law, rule or regulation, in the Prospectus of the Fund or in Fund shareholder reports or proxy statements; or (b) as may be otherwise specifically approved in writing by the Sub-Adviser prior to use.</w:t>
        <w:br/>
        <w:t xml:space="preserve">  4. Compensation to the Sub-Adviser. For the services to be provided by the Sub-Adviser pursuant to this Agreement, the Adviser will pay the Sub-Adviser, and the Sub-Adviser agrees to accept as full compensation therefore, a sub-advisory fee at the rate specified in Schedule A which is attached hereto and made part of this Agreement. The fee will be calculated based on the daily value of the Assets under the Sub-Adviser’s management (as calculated as described in the Fund’s registration statement), shall be computed daily, and will be paid to the Sub-Adviser not less than monthly in arrears. Except as may otherwise be prohibited by law or regulation (including any then current SEC staff interpretations), the Sub-Adviser may, in its sole discretion and from time to time, waive a portion of its fee.</w:t>
        <w:br/>
        <w:t xml:space="preserve">  In the event of termination of this Agreement, the fee provided in this Section shall be prorated on the basis of the period ending on the last business day on which this Agreement is in effect; provided, however that any minimum annual fee for any Fund (as noted on Schedule A) will not be prorated if this Agreement is terminated with respect to such Fund within twelve (12) months of its inception under this Agreement, but, rather, such minimum annual fee shall be paid by the Adviser in full (minus any investment management fees already paid during such period) at the time of termination.</w:t>
        <w:br/>
        <w:t xml:space="preserve">  5. Expenses. The Sub-Adviser will furnish, at its expense, all necessary facilities and personnel, including personnel compensation, expenses and fees required for the Sub-Adviser to perform its duties under this Agreement; administrative facilities, including operations and bookkeeping, and all equipment necessary for the efficient conduct of the Sub-Adviser’s duties under this Agreement. The Sub-Adviser may enter into an agreement with the Funds to limit the operating expenses of the Fund.</w:t>
        <w:br/>
        <w:t xml:space="preserve">  The Sub-Adviser agrees to bear its costs and expenses arising in connection with any actual, proposed, or possible assignment of this Agreement (even if a proposed, expected, or possible assignment ultimately does not take place). For the avoidance of doubt, without limiting the immediately preceding sentence, if there is a termination (or possible or anticipated termination) of this Agreement as a result of an assignment (or possible or anticipated assignment), then the Sub-Adviser shall bear, without limitation, (a) the expenses and costs incurred in connection with preparing, printing, filing and mailing an information statement or proxy statement, as applicable and (b) if relevant, solicitation and other costs associated with the use of a proxy statement. The preceding two sentences, however, shall not apply in the event of an assignment or proposed assignment by the Adviser, including any termination of this Agreement that results from an assignment of the Management Agreement or this Agreement, in each case, arising from a change in control of the Adviser.</w:t>
        <w:br/>
        <w:t xml:space="preserve">  6</w:t>
        <w:br/>
        <w:t xml:space="preserve">  6. Indemnification. The Sub-Adviser shall indemnify and hold harmless the Adviser, the Trust, all affiliated persons thereof (within the meaning of Section 2(a)(3) of the 1940 Act) and all controlling persons (as described in Section 15 of the Securities Act of 1933, as amended) (“Sub-Adviser Indemnitees”) from and against any and all claims, losses, liabilities or damages (including reasonable attorney’s fees and other related expenses) (“Losses”) however arising from or in connection with this Agreement (including, without limitation, any claims of infringement or misappropriation of the intellectual property rights of a third party against the Adviser or any affiliated person relating to any index or index data provided to Sub-Adviser by the Adviser or Adviser’s agent and used by the Sub-Adviser in connection with performing its duties under this Agreement) to the extent resulting from or relating to Sub-Adviser’s own willful misfeasance, fraud, bad faith or gross negligence, or to the reckless disregard of its duties under this Agreement; provided, however, that the Sub-Adviser’s obligations under this Section 6 shall be reduced to the extent that the loss experienced by the Sub-Adviser Indemnitee, is caused by or is otherwise directly related to the Adviser’s own willful misfeasance, fraud, bad faith or gross negligence, or to the reckless disregard of its duties under this Agreement or the Management Agreement.</w:t>
        <w:br/>
        <w:t xml:space="preserve">  The Adviser shall indemnify and hold harmless the Sub-Adviser and all affiliated persons thereof and all controlling persons (as described in Section 15 of the Securities Act of 1933, as amended) (“Adviser Indemnitees”) from and against any and all Losses however arising from or in connection with this Agreement (including, without limitation, any claims of infringement or misappropriation of the intellectual property rights of a third party against the Sub-Adviser or any affiliated person relating to any index or index data provided to Sub-Adviser by the Adviser or Adviser’s agent and used by the Sub-Adviser in connection with performing its duties under this Agreement); provided, however, that the Adviser’s obligations under this Section 6 shall be reduced to the extent that the Loss experienced by the Adviser Indemnitee, is caused by or is otherwise directly related to the Sub-Adviser’s own willful misfeasance, fraud, bad faith or gross negligence, or to the reckless disregard of its duties under this Agreement.</w:t>
        <w:br/>
        <w:t xml:space="preserve">  Notwithstanding anything to the contrary contained herein, no party to this Agreement shall be responsible or liable for its failure to perform under this Agreement or for any losses to the Assets resulting from any event beyond the reasonable control of such party or its agents, including, but not limited to, nationalization, expropriation, devaluation, seizure or similar action by any governmental authority, de facto or de jure; or enactment, promulgation, imposition or enforcement by any such governmental authority of currency restrictions, exchange controls, levies or other charges affecting the Assets; or the breakdown, failure or malfunction of any utilities or telecommunications systems; or any order or regulation of any banking or securities industry including changes in market rules and market conditions affecting the execution or settlement of transactions; or acts or war, terrorism, insurrection or revolution; or acts of God, or any other similar event. In no event, shall any party be responsible for incidental, consequential or punitive damages hereunder.</w:t>
        <w:br/>
        <w:t xml:space="preserve">  The Sub-Adviser is hereby expressly put on notice of the limitation of shareholder liability as set forth in the Declaration of Trust and agrees that any claims against or liabilities of the Trust shall be limited in all cases to the Trust and its assets, and if the claim or liability relates to one or more of the Funds, they shall be limited to the respective assets of that Fund. The Sub-Adviser further agrees that it shall not seek satisfaction of any such obligation from the shareholders or any individual shareholder of the Fund, nor from the Trustees or any individual Trustee of the Trust.</w:t>
        <w:br/>
        <w:t xml:space="preserve">  7</w:t>
        <w:br/>
        <w:t xml:space="preserve">  To the maximum extent permitted by law, this Agreement is not intended to create in any individual shareholder or group of shareholders of the Fund any right to enforce this Agreement or to seek any remedy under this Agreement, either directly or on behalf of the Trust or any Fund.</w:t>
        <w:br/>
        <w:t xml:space="preserve">  The provisions of this Section shall survive the termination of this Agreement.</w:t>
        <w:br/>
        <w:t xml:space="preserve">  7. Representations and Warranties of the Adviser. The Adviser represents and warrants to the Sub-Adviser as follow:</w:t>
        <w:br/>
        <w:t xml:space="preserve">  (a) The Adviser is a limited liability company duly organized and validly existing under the laws of the state of Delaware with the power to own and possess its assets and carry on its business as it is now being conducted.</w:t>
        <w:br/>
        <w:t xml:space="preserve">  (b) This Agreement is a valid and binding agreement of the Adviser.</w:t>
        <w:br/>
        <w:t xml:space="preserve">  (c) The Adviser has been duly authorized by the Board to delegate to the Sub-Adviser the provision of investment services to as contemplated herein.</w:t>
        <w:br/>
        <w:t xml:space="preserve">  (d) The Adviser is currently in compliance and shall at all times continue to be in compliance with the requirements imposed upon the Adviser by applicable law and regulations.</w:t>
        <w:br/>
        <w:t xml:space="preserve">  (e) The Adviser (i) will be registered as an investment adviser under the Advisers Act prior to the commencement of operation of the Funds and thereafter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investment manager of an investment company pursuant to Section 9(a) of the 1940 Act or otherwise.</w:t>
        <w:br/>
        <w:t xml:space="preserve">  (f) Each Fund is an “eligible contract participant” as defined in Section 1a(18) of the the CEA and U.S. Commodity Futures Trading Commission (“CFTC”) Rule 1.3(m) thereunder and a “qualified eligible person” as defined in Rule 4.7 of the CFTC. The Adviser consents to each Fund being treated as an exempt account under Rule 4.7 of the CFTC.</w:t>
        <w:br/>
        <w:t xml:space="preserve">  (g) The Adviser is registered with the National Futures Association as a commodity pool operator, commodity trading adviser, or is not required to be registered as such.</w:t>
        <w:br/>
        <w:t xml:space="preserve">  8</w:t>
        <w:br/>
        <w:t xml:space="preserve">  8. Representations and Warranties of Sub-Adviser. The Sub-Adviser represents and warrants to the Adviser and the Trust as follows:</w:t>
        <w:br/>
        <w:t xml:space="preserve">  (a) The Sub-Adviser is registered with the SEC as an investment adviser under the Advisers Act and will continue to be so registered so long as this Agreement remains in effect;</w:t>
        <w:br/>
        <w:t xml:space="preserve">  (b) The Sub-Adviser will immediately notify the Adviser of the occurrence of any event that would substantially impair the Sub-Adviser’s ability to fulfill its commitment under this Agreement or disqualify the Sub-Adviser from serving as an investment adviser of an investment company pursuant to Section 9(a) of the 1940 Act. The Sub-Adviser will also promptly notify the Trust and the Adviser if it, a member of its executive management or portfolio manager for the Assets is served or otherwise receives notice of any action, suit, proceeding or investigation, at law or in equity, before or by any court, government agency, self-regulatory organization, public board or body, relating to the investment advisory services of the Sub-Adviser (other than any routine regulatory examinations);</w:t>
        <w:br/>
        <w:t xml:space="preserve">  (c) The Sub-Adviser will notify the Adviser immediately upon detection of (a) any material failure to manage the Fund(s) in accordance with the Fund(s)’ stated investment objectives, guidelines and policies or any applicable law or regulation; or (b) any material breach of any of the Fund(s)’ or the Sub-Adviser’s policies, guidelines or procedures relating to a Fund.</w:t>
        <w:br/>
        <w:t xml:space="preserve">  (d) The Sub-Adviser is fully authorized under all applicable law and regulation to enter into this Agreement and serve as Sub-Adviser to each Fund and to perform the services described under this Agreement;</w:t>
        <w:br/>
        <w:t xml:space="preserve">  (e) The Sub-Adviser is a limited liability company duly organized and validly existing under the laws of the state of Delaware with the power to own and possess its assets and carry on its business as it is now being conducted;</w:t>
        <w:br/>
        <w:t xml:space="preserve">  (f) The execution, delivery and performance by the Sub-Adviser of this Agreement are within the Sub-Adviser’s powers and have been duly authorized by all necessary action on the part of its corporate members or board, and no action by or in respect of, or filing with, any governmental body, agency or official is required on the part of the Sub-Adviser for the execution, delivery and performance by the Sub-Adviser of this Agreement, and the execution, delivery and performance by the Sub-Adviser of this Agreement do not contravene or constitute a default under (i) any provision of applicable law, rule or regulation, (ii) the Sub-Adviser’s governing instruments, or (iii) any agreement, judgment, injunction, order, decree or other instrument binding upon the Sub-Adviser;</w:t>
        <w:br/>
        <w:t xml:space="preserve">  (g) This Agreement is a valid and binding agreement of the Sub-Adviser;</w:t>
        <w:br/>
        <w:t xml:space="preserve">  (h) The Form ADV of the Sub-Adviser previously provided to the Adviser is a true and complete copy of the form filed with the SEC and the information contained therein is accurate, current and complete in all material respects as of its filing date, and does not omit to state any material fact necessary in order to make the statements made, in light of the circumstances under which they were made, not misleading;</w:t>
        <w:br/>
        <w:t xml:space="preserve">  (i) The Sub-Adviser shall not divert any Fund’s portfolio securities transactions to a broker or dealer in consideration of such broker or dealer’s promotion or sales of shares of the Fund, any other series of the Trust, or any other registered investment company.</w:t>
        <w:br/>
        <w:t xml:space="preserve">  9</w:t>
        <w:br/>
        <w:t xml:space="preserve">  (j) The Sub-Adviser will notify the Adviser of any anticipated “assignment” (as defined in the 1940 Act) of this Agreement as soon as reasonably practicable.</w:t>
        <w:br/>
        <w:t xml:space="preserve">  (k) The Sub-Adviser agrees to maintain an appropriate level of errors and omissions or professional liability insurance coverage as determined in the Sub-Adviser’s sole discretion.</w:t>
        <w:br/>
        <w:t xml:space="preserve">  9. Duration and Termination. The effectiveness and termination dates of this Agreement shall be determined separately for each Fund as described below.</w:t>
        <w:br/>
        <w:t xml:space="preserve">  (a) Duration. This Agreement shall become effective with respect to a Fund upon the latest of (i) the approval by a vote of a majority of those Trustees of the Trust who are not parties to this Agreement or interested persons of any such party, cast in person at a meeting called for the purpose of voting on such approval; (ii) the approval of a majority of the Fund’s outstanding voting securities, if required by the 1940 Act; and (iii) the commencement of the Sub-Adviser’s management of the Fund. With respect to each Fund, this Agreement shall continue in effect for a period of two years from the effective date described in this sub-paragraph, subject thereafter to being continued in force and effect from year to year if specifically approved each year by the Board or by the vote of a majority of the Fund’s outstanding voting securities. In addition to the foregoing, each renewal of this Agreement must be approved by the vote of a majority of the Board who are not parties to this Agreement or interested persons of any such party, cast in person at a meeting called for the purpose of voting on such approval. Prior to voting on the renewal of this Agreement, the Board may request and evaluate, and the Sub-Adviser shall furnish, such information as may reasonably be necessary to enable the Board to evaluate the terms of this Agreement.</w:t>
        <w:br/>
        <w:t xml:space="preserve">  (b) Termination. Notwithstanding whatever may be provided herein to the contrary, this Agreement may be terminated at any time with respect to a Fund, without payment of any penalty:</w:t>
        <w:br/>
        <w:t xml:space="preserve">  (i) By vote of a majority of the Board, or by vote of a majority of the outstanding voting securities of the Funds, or by the Adviser, in each case, upon sixty (60) days’ written notice to the Sub-Adviser;</w:t>
        <w:br/>
        <w:t xml:space="preserve">  (ii) By the Adviser upon breach by the Sub-Adviser of any representation or warranty contained in Sections 8 or 10 hereof, which shall not have been cured within thirty (30) days of the Sub-Adviser’s receipt of written notice of such breach;</w:t>
        <w:br/>
        <w:t xml:space="preserve">  (iii) By the Adviser immediately upon written notice to the Sub-Adviser if the Sub-Adviser becomes unable to discharge its duties and obligations under this Agreement;</w:t>
        <w:br/>
        <w:t xml:space="preserve">  (iv) By the Sub-Adviser upon failure of the Adviser to make any payment to the Sub-Adviser that the Sub-Adviser is entitled to under this Agreement, which shall not have been cured within twenty (20) days of the Adviser’s receipt of written notice of such breach; or</w:t>
        <w:br/>
        <w:t xml:space="preserve">  10</w:t>
        <w:br/>
        <w:t xml:space="preserve">  (v) By the Sub-Adviser upon ninety (90) days’ written notice to the Adviser and the Board.</w:t>
        <w:br/>
        <w:t xml:space="preserve">  This Agreement shall terminate automatically and immediately in the event of its assignment, or in the event of a termination of the Management Agreement with the Trust upon notice to the Sub-Adviser. As used in this Section 9, the terms “assignment” and “vote of a majority of the outstanding voting securities” shall have the respective meanings set forth in the 1940 Act and the rules and regulations thereunder, subject to such exceptions as may be granted by the SEC under the 1940 Act.</w:t>
        <w:br/>
        <w:t xml:space="preserve">  10. Regulatory Compliance Program of the Sub-Adviser. The Sub-Adviser hereby represents and warrants that:</w:t>
        <w:br/>
        <w:t xml:space="preserve">  (a) in accordance with Rule 206(4)-7 under the Advisers Act, the Sub-Adviser has adopted and implemented and will maintain written policies and procedures reasonably designed to prevent violation by the Sub-Adviser and its supervised persons (as such term is defined in the Advisers Act) of the Advisers Act and the rules the SEC has adopted under the Advisers Act; and</w:t>
        <w:br/>
        <w:t xml:space="preserve">  (b) the Sub-Adviser has adopted and implemented and will maintain written policies and procedures that are reasonably designed to prevent violation of the “federal securities laws” (as such term is defined in Rule 38a-1 under the 1940 Act) by the Funds and the Sub-Adviser (the policies and procedures referred to in this Section 9(b), along with the policies and procedures referred to in Section 9(a), are referred to herein as the Sub-Adviser’s “Compliance Program”).</w:t>
        <w:br/>
        <w:t xml:space="preserve">  11. Confidentiality. Subject to the duty of the Adviser or Sub-Adviser to comply with applicable law and regulation, including any demand or request of any regulatory, governmental or tax authority having jurisdiction, the parties hereto shall treat as confidential all non-public information pertaining to the Funds and the actions of the Adviser, Sub-Adviser and the Funds in respect thereof and such treatment shall survive termination of this Agreement. It is understood that any information or recommendation supplied by the Sub-Adviser in connection with the performance of its obligations hereunder is to be regarded as confidential and for use only by the Adviser, the Funds, the Board, or such persons as the Adviser may designate in connection with the Funds. It is also understood that any information supplied to the Sub-Adviser in connection with the performance of its obligations hereunder is to be regarded as confidential and for use only by the Sub-Adviser, its affiliates and agents in connection with its obligation to provide investment advice and other services to the Funds and to assist or enable the effective management of the Adviser’s and the Funds’ overall relationship with the Sub-Adviser and its affiliates. The parties acknowledge and agree that all non-public personal information with regard to shareholders in the Funds shall be deemed proprietary and confidential information of the Adviser, and that the Sub-Adviser shall use that information solely in the performance of its duties and obligations under this Agreement and shall take reasonable steps to safeguard the confidentiality of that information. Further, the Sub-Adviser shall maintain and enforce adequate security and oversight procedures with respect to all materials, records, documents and data relating to any of its responsibilities pursuant to this Agreement.</w:t>
        <w:br/>
        <w:t xml:space="preserve">  11</w:t>
        <w:br/>
        <w:t xml:space="preserve">  12. Reporting of Compliance Matters.</w:t>
        <w:br/>
        <w:t xml:space="preserve">  (a) The Sub-Adviser shall promptly provide to the Adviser’s Chief Compliance Officer (“CCO”) the following:</w:t>
        <w:br/>
        <w:t xml:space="preserve">  (i) a report of any material violations of the Sub-Adviser’s Compliance Program or any “material compliance matters” (as such term is defined in Rule 38a-1 under the 1940 Act) that have occurred with respect to the Sub-Adviser’s Compliance Program;</w:t>
        <w:br/>
        <w:t xml:space="preserve">  (ii) on a quarterly basis, a report of any material changes to the policies and procedures that compose the Sub-Adviser’s Compliance Program;</w:t>
        <w:br/>
        <w:t xml:space="preserve">  (iii) a copy of the Sub-Adviser’s chief compliance officer’s report (or similar document(s) which serve the same purpose) regarding his or her annual review of the Sub-Adviser’s Compliance Program, as required by Rule 206(4)-7 under the Advisers Act; and</w:t>
        <w:br/>
        <w:t xml:space="preserve">  (iv) an annual (or more frequently as the Adviser’s CCO may reasonably request) representation regarding the Sub-Adviser’s compliance with Section 8 of this Agreement.</w:t>
        <w:br/>
        <w:t xml:space="preserve">  (b) Upon request of the Adviser, the Sub-Adviser shall also provide the Adviser’s CCO with reasonable access, during normal business hours, to the Sub-Adviser’s facilities for the purpose of conducting pre-arranged on-site compliance related due diligence meetings with personnel of the Sub-Adviser.</w:t>
        <w:br/>
        <w:t xml:space="preserve">  13. The Name Sublicense. The Adviser grants to the Sub-Adviser a sub-license to use the name “WEBs Investments” (the “Name”). The foregoing authorization by the Adviser to the Sub-Adviser to use the Name is not exclusive of the right of the Adviser itself to use, or to authorize others to use, the Name; the Sub-Adviser acknowledges and agrees that, as between the Sub-Adviser and the Adviser, the Adviser has the right to use, or authorize others to use, the Name. The Sub-Adviser shall only use the Name in a manner consistent with uses approved by the Adviser. Notwithstanding the foregoing, neither the Sub-Adviser nor any affiliate or agent of it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the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such affiliates or agents provide to the Sub-Adviser or the Funds under this Agreement.</w:t>
        <w:br/>
        <w:t xml:space="preserve">  The Sub-Adviser grants the Adviser use of the Sub-Adviser’s name(s), derivatives, logos, trademarks, service marks or trade names in connection with certain materials used in the ordinary course of business, such as prospectuses, financial reports, fund fact sheets, fund name and related materials, including advertising and marketing materials for the Funds. Such grant will be revoked as to future use as soon as this Agreement is terminated.</w:t>
        <w:br/>
        <w:t xml:space="preserve">  12</w:t>
        <w:br/>
        <w:t xml:space="preserve">  14. Governing Law. This Agreement shall be governed by the laws of the State of Delaware, without regard to conflict of law principles; provided, however, that nothing herein shall be construed as being inconsistent with the 1940 Act.</w:t>
        <w:br/>
        <w:t xml:space="preserve">  15. Severability. Should any part of this Agreement be held invalid by a court decision, statute, regulation, rule or otherwise, the remainder of this Agreement shall not be affected thereby. This Agreement shall be binding upon and shall inure to the benefit of the parties hereto and their respective successors.</w:t>
        <w:br/>
        <w:t xml:space="preserve">  16. Notice. Any notice, advice, document, report or other client communication to be given pursuant to this Agreement shall be deemed sufficient if delivered or mailed by registered, certified or overnight mail, postage prepaid or electronically addressed by the party giving notice to the other party at the last address furnished by the other party. By consenting to the electronic delivery of any notice, advice, document, report or other client communication in respect of this Agreement or as required pursuant to applicable law, the Adviser authorizes the Sub-Adviser to deliver all communications by email or other electronic means.</w:t>
        <w:br/>
        <w:t xml:space="preserve">    To the Adviser at:</w:t>
        <w:br/>
        <w:t xml:space="preserve">          To the Trust at:  </w:t>
        <w:br/>
        <w:t xml:space="preserve">        To the Sub-Adviser at:</w:t>
        <w:br/>
        <w:t>Vident Asset Management</w:t>
        <w:br/>
        <w:t>0000 Xxxxxxxxx Xxxxxxx, Xxxxx 000</w:t>
        <w:br/>
        <w:t>Xxxxxxxxxx, Xxxxxxx 00000</w:t>
        <w:br/>
        <w:t>Attention:</w:t>
        <w:br/>
        <w:t>Email:</w:t>
        <w:br/>
        <w:t xml:space="preserve">  17. Non-Hire/Non-Solicitation. The parties hereby agree that, during the term of this Agreement, neither party shall, for any reason, directly or indirectly, on its own behalf or on behalf of others, knowingly hire any person employed by the other party (a “Restricted Person”), whether or not such Restricted Person is a full-time employee or whether or not any Restricted Person’s employment is pursuant to a written agreement or is at-will. The parties further agree that, to the extent that a party breaches the covenant described in this paragraph, the other party shall be entitled to pursue all appropriate remedies in law or equity. The services of the Adviser and Sub-Adviser are not to be deemed exclusive, and the Adviser and Sub-Adviser and their directors, officers, employees and affiliates shall be free to render similar services to others so long as its services to the Trust are not impaired thereby.</w:t>
        <w:br/>
        <w:t xml:space="preserve">  18. Amendment of Agreement. This Agreement may be amended only by written agreement of the Adviser, the Sub-Adviser and the Trust, and only in accordance with the provisions of the 1940 Act and the rules and regulations promulgated thereunder; provided, however, the amendment of Schedule A to this Agreement for the sole purpose of (i) adding or removing one or more Funds or (ii) making other non-material changes to the information included in Schedule A shall not be deemed an amendment of this Agreement requiring the approval of shareholders.</w:t>
        <w:br/>
        <w:t xml:space="preserve">  13</w:t>
        <w:br/>
        <w:t xml:space="preserve">  19. Entire Agreement. This Agreement embodies the entire agreement and understanding between the parties hereto, and supersedes all prior agreements and understandings relating to this Agreement’s subject matter. This Agreement may be executed in any number of counterparts, each of which shall be deemed to be an original, but such counterparts shall, together, constitute only one instrument.</w:t>
        <w:br/>
        <w:t xml:space="preserve">  20. Interpretation. Any question of interpretation of any term or provision of this Agreement having a counterpart in or otherwise derived from a term or provision of the 1940 Act will be resolved by reference to such term or provision of the 1940 Act and to interpretations thereof, if any, by the United States courts or, in the absence of any controlling decision of any such court, by rules, regulations or orders of the SEC validly issued pursuant to the 1940 Act. Specifically, the terms “vote of a majority of the outstanding voting securities,” “interested persons,” “assignment,” and “affiliated persons,” as used herein will have the meanings assigned to them by Section 2(a) of the 1940 Act. In addition, where the effect of a requirement of the 1940 Act reflected in any provision of this Agreement is relaxed by a rule, regulation or order of the SEC, whether of special or of general application, such provision will be deemed to incorporate the effect of such rule, regulation or order.</w:t>
        <w:br/>
        <w:t xml:space="preserve">  21. Headings. The headings in the sections of this Agreement are inserted for convenience of reference only and will not constitute a part hereof.</w:t>
        <w:br/>
        <w:t xml:space="preserve">  In the event the terms of this Agreement are applicable to more than one Fund of the Trust as specified in Schedule A attached hereto, the Adviser is entering into this Agreement with the Sub-Adviser on behalf of the respective Funds severally and not jointly, with the express intention that the provisions contained in each numbered paragraph hereof shall be understood as applying separately with respect to each Fund as if contained in separate agreements between the Adviser and Sub-Adviser for each such Fund. In the event that this Agreement is made applicable to any additional Funds by way of a Schedule executed subsequent to the date first indicated above, provisions of such Schedule shall be deemed to be incorporated into this Agreement as it relates to such Fund so that, for example, the execution date for purposes of Section 9 of this Agreement with respect to such Fund shall be the execution date of the relevant Schedule.</w:t>
        <w:br/>
        <w:t xml:space="preserve">  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 xml:space="preserve">  [Signature page follows]</w:t>
        <w:br/>
        <w:t xml:space="preserve">  14</w:t>
        <w:br/>
        <w:t xml:space="preserve">  IN WITNESS WHEREOF, the parties hereto have caused this Agreement to be executed as of the day first set forth above.</w:t>
        <w:br/>
        <w:t xml:space="preserve">              By:  </w:t>
        <w:br/>
        <w:t xml:space="preserve">        Name:  </w:t>
        <w:br/>
        <w:t xml:space="preserve">        Title:  </w:t>
        <w:br/>
        <w:t xml:space="preserve">                By:  </w:t>
        <w:br/>
        <w:t xml:space="preserve">        Name:  </w:t>
        <w:br/>
        <w:t xml:space="preserve">        Title:  </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