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CAPITAL MANAGEMENT, LLC</w:t>
        <w:br/>
        <w:br/>
        <w:t>SUB-ADVISORY AGREEMENT</w:t>
        <w:br/>
        <w:t xml:space="preserve"> Sub-Advisory Agreement (this “Agreement”) entered into as of the 15th day of March, 2024, by and between One Capital Management, LLC, 000 Xxxxxxxxxx Xxxxxx, Xxxxx 0000, Xxx Xxxxxxxxx, XX 00000 (the “Advisor”), and The Future Fund, LLC, 000 X. Xxxxxx, Xxxxx 0000, Xxxxxxx, XX 00000, a registered investment advisor registered under the Investment Advisers Act of 1940 (the “Advisers Act”) (the “Sub-Adviser”).</w:t>
        <w:br/>
        <w:t xml:space="preserve"> WHEREAS, FundX Investment Trust, a Delaware statutory trust (the “Trust”), is an open-end management investment company, registered as such under the Investment Company Act of 1940 (the “1940 Act”);</w:t>
        <w:br/>
        <w:t xml:space="preserve"> WHEREAS, the Advisor is registered as an investment adviser under the Advisers Act;</w:t>
        <w:br/>
        <w:br/>
        <w:t>WHEREAS, the Advisor has entered into an Investment Advisory Agreement dated August 31, 2022 (the “Advisory Agreement”) with the Trust, relating to the provision of portfolio management services to each series listed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