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99(d)(2)</w:t>
        <w:br/>
        <w:t xml:space="preserve">  SPROTT FUNDS TRUST</w:t>
        <w:br/>
        <w:t>SUB-ADVISORY AGREEMENT</w:t>
        <w:br/>
        <w:t>BETWEEN</w:t>
        <w:br/>
        <w:t>SPROTT ASSET MANAGEMENT USA INC. AND ALPS ADVISORS, INC.</w:t>
        <w:br/>
        <w:t xml:space="preserve">  AGREEMENT, dated as of March 1, 2024 (the “Agreement”) by and between Sprott Asset Management USA, Inc. (the “Investment Adviser”), a California corporation, having its principal place of business at 000 Xxxx Xxxx, Xxxxx 000 Xxxxxx, Xxxxxxxxxxx 00000 and ALPS Advisors, Inc., a Colorado corporation (the “Sub-Adviser”), having its principal place of business at 0000 Xxxxxxxx, Xxxxx 0000, Xxxxxx, Xxxxxxxx 00000, on behalf of the series of the Sprott Funds Trust (the “Trust”) listed in Appendix A hereto, as amended from time to time (each a “Fund” and collectively, the “Funds”).</w:t>
        <w:br/>
        <w:t xml:space="preserve">  WHEREAS, the Investment Adviser is registered as an investment adviser under the Investment Advisers Act of 1940, as amended (“Advisers Act”);</w:t>
        <w:br/>
        <w:t xml:space="preserve">  WHEREAS, the Trust is registered as an open-end, management investment company under the Investment Company Act of 1940, as amended (the “1940 Act”);</w:t>
        <w:br/>
        <w:t xml:space="preserve">  WHEREAS, the Investment Adviser, Sprott Asset Management LP and the Trust entered into an agreement dated on June 30, 2023, that substituted the Adviser in place of Sprott Asset Management LP as investment adviser to the series of the Trust and substituted the Adviser in place of Sprott Asset Management LP as a party to the Advisory Agreement with the Trust;</w:t>
        <w:br/>
        <w:t xml:space="preserve">  WHEREAS, the Investment Adviser, the Sub-Adviser, Sprott Asset Management LP and the Trust entered into an agreement dated on June 30, 2023, that substituted the Adviser in place of Sprott Asset Management LP as a party to the Sub-Advisory Agreement Trust and substituted the Adviser in place of Sprott Asset Management LP as a party to the with the Sub-Adviser;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