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SUB-ADVISORY AGREEMENT</w:t>
        <w:br/>
        <w:t>THIS AMENDED AND RESTATED SUB-ADVISORY AGREEMENT (“Agreement”) is made among GUIDESTONE FUNDS, a Delaware statutory trust (“Trust”), GUIDESTONE CAPITAL MANAGEMENT, LLC, a limited liability company organized under the laws of the State of Texas (“Adviser”), and WELLINGTON MANAGEMENT COMPANY LLP,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and Sub-Adviser entered into a Sub-Advisory Agreement on September 29, 2020, as amended, (“Existing Agreement”) and now wish to enter into this Agreement which amends and restates the Existing Agreement in its entirety;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(i) opening any accounts, including futures accounts with brokerage firms or other financial institutions and (ii) entering into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and any pertinent terms of the account opening documents and other related agreements, OTC Agreements, and related clearing agreements. With respect to master agreements and amendments thereto, the Sub-Adviser agrees to provide copies of the documents upon request. With respect to transactions involving derivative instruments and/or OTC Agreements, the Sub-Adviser agrees to provide Counterparty reports of the type described in Section 3(i). For purposes of this section, the term “Counterparty” includes a clearing broker, prime broker, dealer, foreign currency dealer, futures commission merchant, bank, or any counterparty to an OTC Agreement.</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 In addition, subject to applicable laws, rules and regulation, the Sub-Adviser may, but shall be under no obligation to, execute purchases and sales of the same securities or other instruments on behalf of the Fund directly with other clients of the Sub-Adviser as set forth in Wellington Management’s Policy and Procedures on Order Execution.</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 xml:space="preserve">  3</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4</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Unless otherwise specified by the Adviser, all trades shall be communicated by the Sub-Adviser to the Fund’s Custodian and Administrator by 10 a.m. Central Time on the business day following the trade date, or as soon as reasonably practicable thereafter. The Sub-Adviser shall notify the Fund’s Custodian and Administrator immediately upon becoming aware of any trades not included in any previously transmitted trade communication.</w:t>
        <w:br/>
        <w:t xml:space="preserve">  5</w:t>
        <w:br/>
        <w:t>(j) The Sub-Adviser shall confirm all trades with each executing broker and Counterparty upon execution to ensure accurate trade settlement The Sub-Adviser shall also reconcile no less frequent than weekly all trades and positions (including cash) to the Fund’s official books and records, including without limitation, daily reconciliation of all open Custody positions (as defined below) (including cash) to the Custodian, and reconciliation of all open Counterparty-Traded Positions (as defined below) to the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assisting the Fund’s Custodian and Administrator to such files and websites of the executing brokers and Counterparties. The Sub-Adviser shall work with the Fund’s Custodian and Administrator and/or the Adviser, as appropriate, to resolve all open reconciliation items as soon as reasonably practicable, including trade and position discrepancies, identified in such reconciliations. The Sub-Adviser shall also provide to the Adviser and its Custodian and Administrator a monthly (or such other frequency as may be requested by the Adviser) report detailing all the reconciliation activities outlined in this section, including details about each discrepancy and the plan for resolution. These reports shall be sent to the email address(es) provided by the Adviser to the Sub-Adviser. If a reconciliation does not identify any discrepancies, an email is still required providing evidence of reconciliation. For purposes of this Section 3(j),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In accordance with procedures adopted by the Board, as amended from time to time, the Sub-Adviser will upon reasonable request provide reasonable assistance to the Administrator and/or the Fund in determining or confirming the fair valuation of portfolio securities held in the Fund Account. This assistance includes (but is not limited to): (i) designating and providing access to one or more employees of the Sub-Adviser who are knowledgeable about the security or other asset or liability, its issuer or Counterparty (as applicable), its financial condition, trading and/or other relevant factors for valuation, which employees shall be available for consultation when the Board or the Valuation Committee of the Adviser convenes; (ii) assisting the Board, Adviser, the Custodian or the Administrator in obtaining bids and offers or quotes from broker-dealers or market-makers with respect to investments held in the Fund Account, upon the reasonable request of the Adviser, Custodian or Administrator; (iii) upon the request of the Board, Adviser, the Custodian or the Administrator, providing recommendations for pricing and fair valuations (including the methodology and rationale used in making such recommendation and such other relevant information as may be requested) of any portfolio security held in the Fund Account for which the Administrator does not obtain prices in the ordinary course of business from an automated pricing service; and (iv) maintaining adequate records and written backup information with respect to the investments valuation assistance provided hereunder, and providing such information to the Board, Adviser or the Fund upon request. Additionally, the Sub-Adviser shall be responsible for obtaining valuations for derivative instruments from Counterparties and for providing that information (and any valuation determinations made by the Sub-Adviser) to the Fund’s Administrator and the Adviser for their consideration as the Administrator or Adviser may specify. The Sub-Adviser shall promptly notify the Adviser if, for any reason, the Sub-Adviser believes that the price assigned to any security or other investment in the Fund Account that is not readily ascertainable may not accurately reflect the fair value thereof. In those circumstances, approved fair valuation methodology may be utilized by the Sub-Adviser to establish a price, at which time a fair valuation recommendation would be provided to the Adviser. Notwithstanding the foregoing, the Adviser and the Trust hereby acknowledge that the Sub-Adviser is not the pricing agent for the Fund and therefore not responsible for valuing the Fund’s securities for purposes of calculating the Fund’s net asset value.</w:t>
        <w:br/>
        <w:t xml:space="preserve">  6</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In addition, Sub-Adviser is permitted to use affiliates and employees of such affiliates, to provide non-discretionary investment advisory services.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 xml:space="preserve">  7</w:t>
        <w:br/>
        <w:t>(p) The Sub-Adviser will not be responsible for making any class action filings, including bankruptcies, on behalf of the Fund Account. The Sub-Adviser shall make reasonable efforts to provide the Trust and the Adviser with any information it inadvertently receives on behalf of the Fund regarding class action claims or any other actions or proceedings in which Sub-Adviser is aware that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The Sub-Adviser shall not vote proxies on behalf of the Trust.</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 xml:space="preserve">  8</w:t>
        <w:br/>
        <w:t>8. Limitation of Liability. The Sub-Adviser shall discharge its duties under this Agreement with the care, skill, prudence and diligence under the circumstances then prevailing that a prudent investment professional acting in a similar capacity and familiar with such matters would use.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 xml:space="preserve">  9</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 xml:space="preserve">  10</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 xml:space="preserve">  11</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 The Sub-Adviser shall provide written notice to the Adviser of any cancellation of coverage that is not replaced with commensurate coverage.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 xml:space="preserve">  12</w:t>
        <w:br/>
        <w:t>(i) The Sub-Adviser agrees to promptly notify the Trust and the Adviser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Trust and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material disruption to operating systems including trading functions, or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The Sub-Adviser, the Adviser and Fund acknowledge and agree that during the term of this Agreement the parties may have access to information that is proprietary or confidential to all parties or their respective affiliates, including material non-public information pertaining to the Fund Account (“Confidential Information”). The parties agree that their respective officers and employees shall treat all such Confidential Information as confidential and proprietary and will not use or disclose Confidential Information for any purpose other than in connection with the exercise of their responsibilities under this Agreement, except in the following circumstances: (i) where any Confidential Information is made publicly available other than in breach of this Agreement; and (ii) where disclosure is required to comply with applicable law, rule or regulation, or a court order or requested by any governmental, regulatory or taxing authority, or any self-regulatory organization, that may have jurisdiction over any party, in which case such party shall request confidential treatment of such information whenever possible. In addition, the Adviser and the Fund acknowledge that the Sub-Adviser may disclose information relating to its investment activities in the normal course of business, including information relating to the Fund Account, provided that no information identifying the Fund or the Adviser may be shared. However,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w:t>
        <w:br/>
        <w:t xml:space="preserve">  13</w:t>
        <w:br/>
        <w:t>The Adviser and the Fund agree not to make use of the investment decisions or recommendations of the Sub-Adviser, other than with respect to the Fund Account, without the written consent of the Sub-Adviser. In addition, each party shall use its best efforts to ensure that any of its agents or affiliates who may gain access to Confidential Information shall be made aware of its proprietary nature and shall likewise treat it as confidential.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 xml:space="preserve">  14</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15</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Force Majeure. No party to this Agreement will be liable for any failure or delay in performing any of its obligations under or pursuant to the Agreement, and any such failure or delay in performing its obligations will not constitute a breach of the Agreement, if such failure or delay is due to any cause whatsoever outside its reasonable control. Any such non-performing party will be entitled to a reasonable extension of the time for performing such obligations. Events outside a party’s reasonable control include any event or circumstance that the party is unable to avoid using reasonable skill and care.</w:t>
        <w:br/>
        <w:t>25.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 and Secretary</w:t>
        <w:br/>
        <w:t>Email: xxxxxxx.xxxxxxxx@xxxxxxxxxx.xxx</w:t>
        <w:br/>
        <w:t>All notices provided to the Sub-Adviser will be sent to:</w:t>
        <w:br/>
        <w:t>Wellington Management Company LLP</w:t>
        <w:br/>
        <w:t>000 Xxxxxxxx Xxxxxx</w:t>
        <w:br/>
        <w:t>Boston, Massachusetts 02210</w:t>
        <w:br/>
        <w:t>Attn: Legal and Compliance Department</w:t>
        <w:br/>
        <w:t>Email: #XxxxxxxxxxXxxxxxxxxxxxXxxxXxxxxXxxxx@xxxxxxxxxx.xxx</w:t>
        <w:br/>
        <w:t xml:space="preserve">  16</w:t>
        <w:br/>
        <w:t>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[rest of page left intentionally blank]</w:t>
        <w:br/>
        <w:t xml:space="preserve">  17</w:t>
        <w:br/>
        <w:t>IN WITNESS WHEREOF, the parties hereto have caused this instrument to be executed by their duly authorized signatories as of March 7, 2024.1</w:t>
        <w:br/>
        <w:t xml:space="preserve">  GUIDESTONE FUNDS,</w:t>
        <w:br/>
        <w:t>on behalf of the series of the Trust</w:t>
        <w:br/>
        <w:t>listed on Schedule A</w:t>
        <w:br/>
        <w:t xml:space="preserve">By:    </w:t>
        <w:br/>
        <w:t>Name:   Xxxxxxx Xxxxxxxx</w:t>
        <w:br/>
        <w:t>Title:   President</w:t>
        <w:br/>
        <w:t>GUIDESTONE CAPITAL MANAGEMENT, LLC</w:t>
        <w:br/>
        <w:t xml:space="preserve">By:    </w:t>
        <w:br/>
        <w:t>Name:   Xxxxxxx Xxxxxxxx</w:t>
        <w:br/>
        <w:t>Title:   Vice President – Fund Operations and Secretary</w:t>
        <w:br/>
        <w:t>WELLINGTON MANAGEMENT</w:t>
        <w:br/>
        <w:t>COMPANY LLP</w:t>
        <w:br/>
        <w:t xml:space="preserve">By:    </w:t>
        <w:br/>
        <w:t xml:space="preserve">Name:    </w:t>
        <w:br/>
        <w:t xml:space="preserve">Title:    </w:t>
        <w:br/>
        <w:t xml:space="preserve">    1 </w:t>
        <w:br/>
        <w:t>Original Agreement dated June 6, 2018.</w:t>
        <w:br/>
        <w:t>As Amended and Restated as of September 29, 2020., as amended</w:t>
        <w:br/>
        <w:t>As Xxxxxxx and Restated as of March 7, 2024.</w:t>
        <w:br/>
        <w:t xml:space="preserve">  18</w:t>
        <w:br/>
        <w:t>SCHEDULE A</w:t>
        <w:br/>
        <w:t>SERIES AND SUB-ADVISORY FEES</w:t>
        <w:br/>
        <w:t>This Schedule A contains the series and sub-advisory fee information required by the Sub-Advisory Agreement among GuideStone Funds (“Trust”), GuideStone Capital Management, LLC (“Adviser”) and Wellington Management Company LLP (“Sub-Adviser”).</w:t>
        <w:br/>
        <w:t>Fee Schedule. Fees payable to the Sub-Adviser pursuant to this Agreement shall be calculated daily and paid monthly by the Trust. The fees are calculated as of the close of trading on the last business day of the month by applying the applicable fee rate to the average daily assets of the Fund allocated to the Sub-Adviser for that period. For purposes of calculating the fee, the value of the Fund’s assets shall be determined in the same manner as that which the Fund uses to determine the net asset value of its shares. The applicable annualized fee rate shall be as indicated in the schedule below of the Fund’s assets allocated to the Sub-Adviser.</w:t>
        <w:br/>
        <w:t xml:space="preserve">  Fund   </w:t>
        <w:br/>
        <w:t>Fee (Annualized Rate)</w:t>
        <w:br/>
        <w:t xml:space="preserve">   Effective Date</w:t>
        <w:br/>
        <w:t xml:space="preserve">Defensive Market Strategies Fund   </w:t>
        <w:br/>
        <w:t>0.35% on first $200 million</w:t>
        <w:br/>
        <w:t>0.33% over $200 million</w:t>
        <w:br/>
        <w:t xml:space="preserve">   March 7, 2024</w:t>
        <w:br/>
        <w:t xml:space="preserve">International Equity Fund   </w:t>
        <w:br/>
        <w:t>0.42% for first $100 million</w:t>
        <w:br/>
        <w:t>0.38% for next $100 million</w:t>
        <w:br/>
        <w:t>0.36% over $200 million</w:t>
        <w:br/>
        <w:t xml:space="preserve">   March 7, 2024</w:t>
        <w:br/>
        <w:t xml:space="preserve">Emerging Markets Equity Fund   </w:t>
        <w:br/>
        <w:t>0.60% for first $150 million</w:t>
        <w:br/>
        <w:t>0.55% for next $150 million</w:t>
        <w:br/>
        <w:t>0.50% over $300 million</w:t>
        <w:br/>
        <w:t xml:space="preserve">   June 6, 2018</w:t>
        <w:br/>
        <w:t xml:space="preserve">  19</w:t>
        <w:br/>
        <w:t>SCHEDULE B</w:t>
        <w:br/>
        <w:t>POLICIES AND PROCEDURES APPLICABLE TO SUB-ADVISER</w:t>
        <w:br/>
        <w:t>EFFECTIVE DATE MARCH 7, 2024</w:t>
        <w:br/>
        <w:t xml:space="preserve">  1.</w:t>
        <w:br/>
        <w:t>Acquisitions of Securities Issued by Securities-Related Businesses (Rule 12d3-1)</w:t>
        <w:br/>
        <w:t>2.</w:t>
        <w:br/>
        <w:t>Agency Transactions with Affiliates (Rule 17e-1)</w:t>
        <w:br/>
        <w:t>3.</w:t>
        <w:br/>
        <w:t>Identification of Affiliated Persons</w:t>
        <w:br/>
        <w:t>4.</w:t>
        <w:br/>
        <w:t>Liquidity Risk Management Program</w:t>
        <w:br/>
        <w:t>5.</w:t>
        <w:br/>
        <w:t>Pricing of Fund Shares and Fair Value</w:t>
        <w:br/>
        <w:t>6.</w:t>
        <w:br/>
        <w:t>Repurchase Agreements</w:t>
        <w:br/>
        <w:t>7.</w:t>
        <w:br/>
        <w:t>Transactions between Funds and Affiliates (Rule 17a-7)</w:t>
        <w:br/>
        <w:t>8.</w:t>
        <w:br/>
        <w:t>Acquisitions of Securities During the Existence of Certain Underwriting Syndicates (Rule 10f-3)</w:t>
        <w:br/>
        <w:t xml:space="preserve">  20</w:t>
        <w:br/>
        <w:t>SCHEDULE C</w:t>
        <w:br/>
        <w:t>REPORTS TO BE PROVIDED BY SUB-ADVISER</w:t>
        <w:br/>
        <w:t>EFFECTIVE DATE MARCH 7, 2024</w:t>
        <w:br/>
        <w:t>(all reports to be sent electronically)</w:t>
        <w:br/>
        <w:t>Monthly</w:t>
        <w:br/>
        <w:t xml:space="preserve">  1.</w:t>
        <w:br/>
        <w:t>Holdings and Valuation Report</w:t>
        <w:br/>
        <w:t>2.</w:t>
        <w:br/>
        <w:t>Liquidity Report</w:t>
        <w:br/>
        <w:t>3.</w:t>
        <w:br/>
        <w:t>Transactions Report</w:t>
        <w:br/>
        <w:t>4.</w:t>
        <w:br/>
        <w:t>CFTC Rule 4.5 Report</w:t>
        <w:br/>
        <w:t>5.</w:t>
        <w:br/>
        <w:t>Rule 12d1-4 Report</w:t>
        <w:br/>
        <w:t>Quarterly</w:t>
        <w:br/>
        <w:t xml:space="preserve">  1.</w:t>
        <w:br/>
        <w:t>GuideStone Funds Compliance Checklist</w:t>
        <w:br/>
        <w:t>2.</w:t>
        <w:br/>
        <w:t>Quarterly Compliance Certification (signed)</w:t>
        <w:br/>
        <w:t>3.</w:t>
        <w:br/>
        <w:t>Code of Ethics Violations Report (complete information on material violations; number and type of non-material violations)</w:t>
        <w:br/>
        <w:t>4.</w:t>
        <w:br/>
        <w:t>Amendments to the Sub-Adviser’s code of ethics (include a summary of the changes as well as the revised code of ethics in Word format)</w:t>
        <w:br/>
        <w:t>5.</w:t>
        <w:br/>
        <w:t>Brokerage report in an Excel file showing the name of the broker-dealer, the shares, the commission in U.S. dollars and the date of the transaction (NOTE: For fixed income sub-advisers, this will include agency transactions only)</w:t>
        <w:br/>
        <w:t>6.</w:t>
        <w:br/>
        <w:t>Trade Cost Analysis reflecting the commissions and execution costs (e.g., order VWAP or day Strike Cost at close) compared to a benchmark universe (NOTE: May be provided on one-quarter lag)</w:t>
        <w:br/>
        <w:t>7.</w:t>
        <w:br/>
        <w:t>Stress Testing Report demonstrating the effect on the Fund Account of moves in interest rates and credit spreads on the Fund Account (fixed income sub-advisers only)</w:t>
        <w:br/>
        <w:t>8.</w:t>
        <w:br/>
        <w:t>Notice of regulatory examinations commenced or closed (include copy of deficiency or other closing letter)</w:t>
        <w:br/>
        <w:t>9.</w:t>
        <w:br/>
        <w:t>Soft Dollar Benefits Report</w:t>
        <w:br/>
        <w:t>10.</w:t>
        <w:br/>
        <w:t>1940 Act Compliance Reports (incl. Rule 10f-3, 17a-7, and 17e-1 transactions)</w:t>
        <w:br/>
        <w:t>Annually</w:t>
        <w:br/>
        <w:t xml:space="preserve">  1.</w:t>
        <w:br/>
        <w:t>Due Diligence Questionnaire</w:t>
        <w:br/>
        <w:t>2.</w:t>
        <w:br/>
        <w:t>Section 15(c) and Sub-Adviser Profitability Questionnaire</w:t>
        <w:br/>
        <w:t>3.</w:t>
        <w:br/>
        <w:t>Compliance Policies and Procedures (updated)</w:t>
        <w:br/>
        <w:t>4.</w:t>
        <w:br/>
        <w:t>Current Code of Ethics and Rule 17j-1 Certification</w:t>
        <w:br/>
        <w:t>5.</w:t>
        <w:br/>
        <w:t>Rule 17j-1 Report describing any issues arising under the Sub-Adviser’s Code of Ethics or procedures reasonably necessary to prevent violations of the Code of Ethics during the relevant period, including, but not limited to, information about material violations of the Code or procedures, and sanctions imposed in response to material violations.</w:t>
        <w:br/>
        <w:t>6.</w:t>
        <w:br/>
        <w:t>Current Proxy Voting Policies and Procedures</w:t>
        <w:br/>
        <w:t>7.</w:t>
        <w:br/>
        <w:t>Report on the annual review of the adequacy of the Sub-Adviser’s policies and procedures and the effectiveness of their implementation required by Rule 206(4)-7(b) under the Advisers Act</w:t>
        <w:br/>
        <w:t>8.</w:t>
        <w:br/>
        <w:t>Annual Compliance Certification (signed)</w:t>
        <w:br/>
        <w:t xml:space="preserve">  21</w:t>
        <w:br/>
        <w:t>9.</w:t>
        <w:br/>
        <w:t>SOC 1, Type 2 report, and/or other report(s) on controls at the Sub-Adviser relevant to internal control over financial reporting (report should describe the Sub-Adviser’s system and the suitability of the design and operating effectiveness of the controls to achieve the related control objectives)</w:t>
        <w:br/>
        <w:t>10.</w:t>
        <w:br/>
        <w:t>SOC 2, Type 2 report, and/or other report(s) on controls at the Sub-Adviser relevant to security, availability, and processing integrity of the systems the Sub-Adviser uses to process data and the confidentiality and privacy of the information processed by these systems (report should describe the Sub-Adviser’s system and the suitability of the design and operating effectiveness of controls)</w:t>
        <w:br/>
        <w:t>11.</w:t>
        <w:br/>
        <w:t>An updated list of all affiliated entities of the Sub-Adviser (reflecting the changes), with any applicable standard industry identifiers (i.e., CUSIP, ISIN, SEDOL, Bloomberg ID, SEC File No, CRD, and/or LEI) indicating which affiliated entities are: (a) control affiliates (i.e., entities that control, are controlled by, or are under common control with the Sub-Adviser); (b) banks, broker-dealers, FCMs, investment advisers, or underwriters; and/or (c) publicly-traded companies, along with their ticker symbol(s).</w:t>
        <w:br/>
        <w:t>12.</w:t>
        <w:br/>
        <w:t>An updated list (reflecting the changes) of all Counterparties utilized for the Fund Account, indicating the trading agreement type(s) in place with each Counterparty (e.g., DCM, FCM, ISDA, Listed Options, MSFTA, Prime Brokerage).</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