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 XXXXXXXXX INVESTORS US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and the policies and procedures adopted by the Trust or the Adviser that are applicable to the Sub-Adviser listed on Schedule B, as such Schedule B is amended from time to time,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including derivative trading agreements,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commercially reasonable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use its best efforts to seek to obtain best execution, pursuant to the Sub-Adviser’s best execution policy, considering all of the circumstances that Sub-Adviser deems relevant, including but not limited the breadth of the market in the security, the price of the security, the financial condition and execution capability of the broker or dealer, and the reasonableness of the commission, if any, both for the specific transaction and on a continuing basis. Sub-Adviser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written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 xml:space="preserve">  3</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may reasonably request, in writing.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non-public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court of competent jurisdiction, or when requested to divulge such information in the context of a regulatory inquiry,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upon request, confirm in writing to the Trust, to the Adviser and any other designated agent of the Fund, including the Administrator, all investment orders for the Fund Account placed by it with brokers and dealers at the time and in the manner set forth in Rule 31a-1 under the 1940 Act. The Sub-Adviser shall arrange for the transmission to the Fund’s Custodian and Administrator on a daily basis such confirmation, trade tickets, and other documents and information as may be reasonably necessary to enable the Custodian and Administrator to perform their administrative, recordkeeping and other responsibilities with respect to the Fund.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in accordance with the foregoing, the Sub-Adviser shall have no responsibility or liability with respect to custodial arrangements or the acts, omissions or other conduct of the Custodian, other than acts or omissions arising in reliance on instructions of the Sub-Adviser.</w:t>
        <w:br/>
        <w:t xml:space="preserve">  4</w:t>
        <w:br/>
        <w:t>(h) Without limiting the generality of the foregoing and in furtherance thereof, the Sub-Adviser shall report to the Fund’s Custodian all trades and positions in the Fund Account daily. Unless otherwise specified by the Adviser, all trades shall be communicated by the Sub-Adviser to the Fund’s Custodian as soon as reasonably practicable. The Sub-Adviser shall notify the Fund’s Custodian immediately upon becoming aware of any trades not included in any previously transmitted trade communication.</w:t>
        <w:br/>
        <w:t>(i) The Sub-Adviser shall reconcile daily all trades and positions (including cash), including without limitation, daily reconciliation of all open Custody positions (as defined below) (including cash) to the Custodian. Upon written request, the Sub-Adviser shall take reasonable steps to work with the Fund’s Custodian and/or the Adviser, as appropriate, to resolve all open reconciliation items promptly after they are identified, including trade and position discrepancies, identified in such reconciliations. The Sub-Adviser shall also provide to the Adviser and its Custodian a quarterly communication detailing all the reconciliation activities outlined in this section, including details about each discrepancy and the plan for resolution. These communications shall be sent to the email address(es) provided by the Adviser to the Sub-Adviser. If a reconciliation does not identify any discrepancies, an email is still required providing evidence of reconciliation. For purposes of this Section 3(i), the term “Custody Positions” refers to all assets of the Fund, including cash, for which custody is maintained directly by the Fund’s Custodian.</w:t>
        <w:br/>
        <w:t>(j) The Sub-Adviser agrees to provide, at such times as shall be reasonably requested by the Board or the Adviser, the analysis and reports specified on Schedule C attached hereto, as such Schedule C is amended from time to time,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(k) In accordance with procedures adopted by the Board, as amended from time to time, the Sub-Adviser will, upon reasonable written request, provide reasonable assistance to the Administrator and/or the Fund in determining or confirming the fair valuation of portfolio securities held in the Fund Account. Upon the reasonable request of the Adviser or the Administrator, the Sub-Adviser will provide reasonable assistance to the Adviser with respect to the valuation of any portfolio security held in the Fund Account for which the Administrator does not obtain prices in the ordinary course of business from an automated pricing service. The Sub-Adviser shall promptly notify the Adviser if, for any reason, the Sub-Adviser believes that the price assigned to any security or other investment in the Fund Account that is not readily ascertainable or may not accurately reflect the fair value thereof. In those circumstances, approved fair valuation methodology may be utilized by the Sub-Adviser to establish a price, at which time a fair valuation recommendation would be provided to the Adviser. The Sub-Adviser will maintain records with respect to securities fair valuation information provided hereunder and shall provide such information to the Adviser upon request. Notwithstanding the foregoing, the Adviser and the Trust hereby acknowledge that the Sub-Adviser is not the pricing agent for the Fund and therefore not responsible for valuing the Fund’s securities for purposes of calculating the Fund’s net asset value.</w:t>
        <w:br/>
        <w:t xml:space="preserve">  5</w:t>
        <w:br/>
        <w:t>(l) The Sub-Adviser shall provide reasonable assistance as reasonably requested, in writing,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reasonable advance written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(m)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written request of the Trust and with reasonable prior notice: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Upon request and reasonable prior notice, the Trust’s chief compliance officer shall have reasonable direct access to the Sub-Adviser’s chief compliance officer and compliance personnel, and the Sub-Adviser, upon written request, shall provide the Trust’s chief compliance officer with periodic reports and special reports in the event of a material compliance matter as defined in Rule 38a-1 under the 1940 Act (“Material Compliance Matter”).</w:t>
        <w:br/>
        <w:t>(n)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3(n), it will provide the Adviser and the Fund with 30 days’ prior written notice, which will include the identity of the affiliated person and such other information reasonably requested by the Adviser or the Fund.</w:t>
        <w:br/>
        <w:t xml:space="preserve">  6</w:t>
        <w:br/>
        <w:t>(o) The Sub-Adviser will not be responsible for making any class action filings, including bankruptcies, on behalf of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written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custodial charges, brokerage commissions, transactional fees and taxes, if any) purchased or sold for the Fund. The Fund shall be responsible for its expenses.</w:t>
        <w:br/>
        <w:t xml:space="preserve">  7</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 xml:space="preserve">  8</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 xml:space="preserve">  9</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written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The Sub-Adviser will also notify the Adviser of any remedial actions that it takes in response to deficiency letters or similar communications from the SEC or another regulator, that Sub-Adviser is required to disclose in its Form ADV.</w:t>
        <w:br/>
        <w:t>(c) The Sub-Adviser has adopted a written code of ethics as required by Rule 204A-1 under the Advisers Act and Rule 17j-1 under the 1940 Act and, upon written request, will provide the Adviser and the Trust with a copy of such code of ethics, together with evidence of its adoption and a certification that the Sub-Adviser has adopted procedures reasonably necessary to prevent violations of such code of ethics. Upon written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10</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Adviser of trade errors made by the Sub-Adviser in connection with its management of the Fund Account.</w:t>
        <w:br/>
        <w:t xml:space="preserve">  11</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and the Adviser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the time period(s) set forth in such plan. The Sub-Adviser shall promptly notify the Adviser,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material disruption to operating systems including trading functions, or unauthorized access to and/or use by third parties of the confidential information of the Fund or the Adviser (each, a “Cybersecurity Breach”), the Sub-Adviser will promptly take appropriate steps to contain or mitigate the Cybersecurity Breach, and will, without unreasonable delay, promptly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court of competent jurisdiction, government, regulatory or taxing authority having jurisdiction, or any self-regulatory organization, the parties hereto shall treat as confidential all (A) material non-public information pertaining to the Fund Account and the actions of the Sub-Adviser, the Adviser and the Trust in respect thereof, and (B) non-public reporting and policies and procedures provided by Sub-Adviser to the Adviser and/or Trust under this Agreement. The Sub-Adviser may disclose such information to third parties as is necessary for it to perform its duties hereunder; however,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 xml:space="preserve">  12</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 xml:space="preserve">  13</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agrees to furnish to the Sub-Adviser, for its prior approval (which approval shall not be unreasonably withheld) at its principal office all marketing materials, prepared for distribution to shareholders of the Fund or the public that refer to the Sub-Adviser in any way (other than to merely identify the Sub-Adviser as a sub-adviser to the Fund). If the Adviser does not receive a response from the Sub-Adviser with respect to such materials within ten business days of its submission for approval, such materials shall be deemed accepted by the Sub-Adviser. The Sub-Adviser agrees that the Adviser may request that the Sub-Adviser approve use of a certain type of marketing material, and that the Adviser need not provide for approval each additional piece of marketing material that is of substantially the same type. Notwithstanding the foregoing, Adviser shall provide Sub-Adviser for its review and approval any marketing materials that materially deviate from pre-approved marketing materials.</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14</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Attn:Xxxxxxx Xxxxxxxx, Vice President – Fund Operations and Secretary</w:t>
        <w:br/>
        <w:t>Email:xxxxxxx.xxxxxxxx@xxxxxxxxxx.xxx</w:t>
        <w:br/>
        <w:t>All notices provided to the Sub-Adviser will be sent to:</w:t>
        <w:br/>
        <w:t>Xxxxx Xxxxxxxxx Investors US LLC</w:t>
        <w:br/>
        <w:t>000 Xxxxxxx Xxxxxx</w:t>
        <w:br/>
        <w:t>Denver, Colorado 80206</w:t>
        <w:br/>
        <w:t>Attn: Head of Legal U.S.</w:t>
        <w:br/>
        <w:t>[rest of page left intentionally blank]</w:t>
        <w:br/>
        <w:t xml:space="preserve">  15</w:t>
        <w:br/>
        <w:t>IN WITNESS WHEREOF, the parties hereto have caused this instrument to be executed by their duly authorized signatories as of January 27, 2023.1</w:t>
        <w:br/>
        <w:t xml:space="preserve">  GUIDESTONE FUNDS,</w:t>
        <w:br/>
        <w:t>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 and Chief Investment Officer</w:t>
        <w:br/>
        <w:t>XXXXX XXXXXXXXX INVESTORS US LLC</w:t>
        <w:br/>
        <w:t xml:space="preserve">By:  </w:t>
        <w:br/>
        <w:t xml:space="preserve">  Name:   Xxxxxxx X. Xxxxxxx</w:t>
        <w:br/>
        <w:t>Title:   Head of Retirement Sales and Strategy</w:t>
        <w:br/>
        <w:t xml:space="preserve">  1 </w:t>
        <w:br/>
        <w:t>Original Agreement dated January 27, 2023.</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 XXXXXXXXX INVETORS US LLC, a registered investment adviser organized under the laws of the State of Delaware (“Sub-Adviser”).</w:t>
        <w:br/>
        <w:t>WHEREAS, Sub-Adviser provides investment management services to the Trust pursuant to the Sub-Advisory Agreement, dated as of January 27, 2023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“Proxy Voting” from the list of policies and procedures applicable to the Sub-Adviser.</w:t>
        <w:br/>
        <w:t xml:space="preserve">    (c)</w:t>
        <w:br/>
        <w:t>Schedule C is hereby amended to delete “Proxy Voting Report (equity sub-advisers only)” and “Current Proxy Voting Policies and Procedures”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XXXXX XXXXXXXXX INVESTORS US LLC</w:t>
        <w:br/>
        <w:t xml:space="preserve">By:  </w:t>
        <w:br/>
        <w:t xml:space="preserve">  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