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XXXXXXX XXXXX ASSET MANAGEMENT, L.P.,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