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RBC GLOBAL ASSET MANAGEMENT (U.S.) INC., a registered investment adviser organized under the laws of the State of Minnesota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may be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including the policies and procedures applicable to the Sub-Adviser listed on Schedule B hereto.</w:t>
        <w:br/>
        <w:t>(b) The Sub-Adviser’s authority hereunder shall include the power to buy, sell, and hold such securities and other instruments, to open accounts and execute trading agreements and any other reasonable and customary documents and representation letters on behalf of the Fund Account as the Sub-Adviser deems appropriate within the parameters of Sections 3(a) and 4, and the conditions of this Agreement. The Sub-Adviser agrees that, prior to (i) opening (or amending) any accounts, including prime brokerage and futures accounts with brokerage firms or other financial institutions and (ii) entering into (or amending) any ISDA master agreement, master repurchase agreement, or any other master swap or over-the-counter trading documentation, including any schedule or credit support annex thereto (such agreements collectively, “OTC Agreements”), or any related clearing agreements on behalf of the Fund, the Sub-Adviser shall notify the Fund’s accounting agent and administrator (“Administrator”), custodian bank (“Custodian”), and the Adviser of the existence and any pertinent terms of the account opening documents, prime brokerage, futures and other related agreements, OTC Agreements, and related clearing agreements. With respect to transactions involving derivative instruments and/or OTC Agreements, the Sub-Adviser agrees to provide Counterparty reports of the type described in Section 3(i). For purposes of this section, the term “Counterparty” includes a clearing broker, prime broker, dealer, foreign currency dealer, futures commission merchant, bank, or any counterparty to an OTC Agreement.</w:t>
        <w:br/>
        <w:t>(c)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 xml:space="preserve">  2</w:t>
        <w:br/>
        <w:t>(d)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(e)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 xml:space="preserve">  3</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(“FCMs”),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(f)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(g)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provided that Sub-Adviser shall be permitted to provide such records or information to its affiliates in order to manage its risks or operations or in connection with its services hereunder.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 xml:space="preserve">  4</w:t>
        <w:br/>
        <w:t>(h) All transactions for the Fund Account will be consummated by delivery of assets to or from the Custodian, or such depositories or agents as may be designated by the Custodian in writing, and neither the Sub-Adviser nor its affiliated persons shall have possession or custody of Fund assets at any time. The Sub-Adviser shall advise the Fund’s Custodian and Administrator on a prompt basis of each purchase and sale of a portfolio security or other financial instrument specifying the name of the issuer or Counterparty, the description, terms and amount of shares or principal amount of the security or other financial instrument purchased or sold, the market price, commission and gross or net price, trade date, settlement date and identity of the effecting broker or dealer and such other information as may reasonably be required.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(i) Without limiting the generality of the foregoing and in furtherance thereof, the Sub-Adviser shall report to the Fund’s Custodian and Administrator all trades and positions in the Fund Account daily (in such form and at such times as specified by the Fund’s Custodian and Administrator and/or the Adviser), including any trade it has entered into for which it has not received confirmation (and, with respect to transactions involving derivative instruments, shall also request each executing broker and Counterparty to deliver its own such transaction and position reporting), and any information related to any corporate action relevant to the investments of the Fund Account (in such form and at such times as specified by the Fund’s Custodian and Administrator). Unless otherwise specified by the Adviser, all trades shall be communicated by the Sub-Adviser to the Fund’s Custodian and Administrator by 10 a.m. Central Time on the business day following the trade date. The Sub-Adviser shall notify the Fund’s Custodian and Administrator immediately upon becoming aware of any trades not included in any previously transmitted trade communication.</w:t>
        <w:br/>
        <w:t>(j) The Sub-Adviser shall reconcile all trades and positions with each executing broker and Counterparty daily to ensure accurate trade settlement and verify open positions (including cash). The Sub-Adviser shall also reconcile daily all trades and positions (including cash) to the Fund’s official books and records, including without limitation, daily reconciliation of all open Custody positions (as defined below) (including cash) to the Custodian, and a daily reconciliation of all open Counterparty-Traded Positions (as defined below) to the Administrator. The Fund’s Administrator shall also conduct a reconciliation of Counterparty-Traded Positions (as defined below) as reported from executing brokers and Counterparties and the Sub-Adviser shall cooperate with the Fund’s Administrator in order to effect such reconciliation, including without limitation by arranging for access by the Fund’s Custodian and Administrator to such files and websites of the executing brokers and Counterparties. The Sub-Adviser shall work with the Fund’s Custodian and Administrator and/or the Adviser, as appropriate, to resolve all open reconciliation items on the same day that they are identified, including trade and position discrepancies, identified in such reconciliations. The Sub-Adviser shall also provide to the Adviser and its Custodian and Administrator a monthly (or such other frequency as may be requested by the Adviser) report detailing all the reconciliation activities outlined in this section, including details about each discrepancy and the plan for resolution. These reports shall be sent to the email address(es) provided by the Adviser to the Sub-Adviser. If a reconciliation does not identify any discrepancies, an email is still required providing evidence of reconciliation. For purposes of this Section 3(j), the term “Custody Positions” refers to all assets of the Fund, including cash, for which custody is maintained directly by the Fund’s Custodian and the term “Counterparty-Traded Positions” refers to all other assets of the Fund, including instruments traded via a Counterparty as defined in Section 3(g).</w:t>
        <w:br/>
        <w:t xml:space="preserve">  5</w:t>
        <w:br/>
        <w:t>(k) The Sub-Adviser agrees to provide, at such times as shall be reasonably requested by the Board or the Adviser, the analysis and reports specified on Schedule C attached hereto, as such Schedule C may be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(l) In accordance with procedures adopted by the Board, as amended from time to time, the Sub-Adviser will upon reasonable request provide reasonable assistance to the Administrator and/or the Fund in determining or confirming the fair valuation of portfolio securities held in the Fund Account. This assistance includes (but is not limited to): (i) designating and providing access to one or more employees of the Sub-Adviser who are knowledgeable about the security or other asset or liability, its issuer or Counterparty (as applicable), its financial condition, trading and/or other relevant factors for valuation, which employees shall be available for consultation when the Board or the Valuation Committee of the Adviser convenes; (ii) assisting the Board, Adviser, the Custodian or the Administrator in obtaining bids and offers or quotes from broker-dealers or market-makers with respect to investments held in the Fund Account, upon the reasonable request of the Adviser, Custodian or Administrator; (iii) upon the request of the Board, Adviser, the Custodian or the Administrator, providing recommendations for pricing and fair valuations (including the methodology and rationale used in making such recommendation and such other relevant information as may be requested) of any portfolio security held in the Fund Account for which the Administrator does not obtain prices in the ordinary course of business from an automated pricing service; and (iv) maintaining adequate records and written backup information with respect to the investments valuation assistance provided hereunder, and providing such information to the Board, Adviser or the Fund upon request. Additionally, the Sub-Adviser shall be responsible for obtaining valuations for derivative instruments from Counterparties and for providing that information (and any valuation determinations made by the Sub-Adviser) to the Fund’s Administrator and the Adviser for their consideration as the Administrator or Adviser may specify. The Sub-Adviser shall promptly notify the Adviser if, for any reason, the Sub-Adviser believes that the price assigned to any security or other investment in the Fund Account that is not readily ascertainable may not accurately reflect the fair value thereof. In those circumstances, approved fair valuation methodology may be utilized by the Sub-Adviser to establish a price, at which time a fair valuation recommendation would be provided to the Adviser. Notwithstanding the foregoing, the Adviser and the Trust hereby acknowledge that the Sub-Adviser is not the pricing agent for the Fund and therefore not responsible for valuing the Fund’s securities for purposes of calculating the Fund’s net asset value.</w:t>
        <w:br/>
        <w:t xml:space="preserve">  6</w:t>
        <w:br/>
        <w:t>(m)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(n)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(o)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discretionary investment advisory services under this Section 3(o), it will provide the Adviser and the Fund prior written notice, which will include the identity of the affiliated person and such other information reasonably requested by the Adviser or the Fund. Notwithstanding the foregoing, the Adviser acknowledges that the Sub-Adviser may rely on persons employed by and the facilities and resources of, or delegate services hereunder to BlueBay Asset Management LLP or RBC Global Asset Management (UK) Limited in providing services hereunder in accordance with this subsection.</w:t>
        <w:br/>
        <w:t xml:space="preserve">  7</w:t>
        <w:br/>
        <w:t>(p)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with respect to its own assets has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 xml:space="preserve">  8</w:t>
        <w:br/>
        <w:t>6. Expenses. During the term of this Agreement, the Sub-Adviser will bear all expenses incurred by it in connection with its services under this Agreement other than the cost of securities (including brokerage commissions,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provides to any other investment company registered under the 1940 Act investment advisory services using the investment strategies substantially similar to those provided by the Sub-Adviser to the Fund pursuant to this Agreement, (ii) the value of the assets under management with respect to which the Sub-Adviser provides such services to such other investment company is equal to or less than the value of the Fund Account, and (iii) the Sub-Adviser is compensated for providing such services to such other investment company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costs (including reasonable legal and other expenses) (collectively,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 xml:space="preserve">  9</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 xml:space="preserve">  10</w:t>
        <w:br/>
        <w:t>(d) The Adviser and the Sub-Adviser each has been duly appointed by the Board to provide investment services to the Fund Account as contemplated hereby.</w:t>
        <w:br/>
        <w:t>(e) The Fund is an “eligible contract participant” as defined in Section 1a(18) of the CEA and a “qualified eligible person” as defined in CFTC Rule 4.7.</w:t>
        <w:br/>
        <w:t>(f)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(c) The Adviser has reviewed the registration requirements of the CEA and the National Futures Association (“NFA”) relating to commodity pool operators and has claimed with respect to each Fund an exclusion from the definition of “commodity pool operator” under CFTC Regulation 4.5.</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 xml:space="preserve">  11</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 xml:space="preserve">  12</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departures of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promptly notify the Trust and the Adviser of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Trust and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 xml:space="preserve">  13</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material disruption to operating systems including trading functions, or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 but any such termination shall not affect the status, obligations, or liabilities of the Adviser to the Sub-Adviser arising prior to termination.</w:t>
        <w:br/>
        <w:t xml:space="preserve">  14</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15</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 and Secretary</w:t>
        <w:br/>
        <w:t>Email: xxxxxxx.xxxxxxxx@xxxxxxxxxx.xxx</w:t>
        <w:br/>
        <w:t xml:space="preserve">  16</w:t>
        <w:br/>
        <w:t>All notices provided to the Sub-Adviser will be sent to:</w:t>
        <w:br/>
        <w:t>RBC Global Asset Management (U.S.) Inc.</w:t>
        <w:br/>
        <w:t>00 Xxxxx Xxxxx Xxxxxx</w:t>
        <w:br/>
        <w:t>Suite 2350</w:t>
        <w:br/>
        <w:t>Minneapolis, Minnesota 55402</w:t>
        <w:br/>
        <w:t>Attn: Client Service</w:t>
        <w:br/>
        <w:t>Email: xxxxxxxxxxxxxxxxxxxxx@xxx.xxx</w:t>
        <w:br/>
        <w:t>[rest of page left intentionally blank]</w:t>
        <w:br/>
        <w:t xml:space="preserve">  17</w:t>
        <w:br/>
        <w:t>IN WITNESS WHEREOF, the parties hereto have caused this instrument to be executed by their duly authorized signatories as of January 27, 2023.1</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 and Chief Investment Officer</w:t>
        <w:br/>
        <w:t>RBC GLOBAL ASSET MANAGEMENT (U.S.) INC.</w:t>
        <w:br/>
        <w:t xml:space="preserve">By:  </w:t>
        <w:br/>
        <w:t xml:space="preserve">  Name:  </w:t>
        <w:br/>
        <w:t xml:space="preserve">  Title:  </w:t>
        <w:br/>
        <w:t xml:space="preserve">    1 </w:t>
        <w:br/>
        <w:t>Original Agreement dated January 27, 2023.</w:t>
        <w:br/>
        <w:t xml:space="preserve">  18</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RBC GLOBAL ASSET MANAGEMENT (U.S.) INC., a registered investment adviser organized under the laws of the State of Minnesota (“Sub-Adviser”).</w:t>
        <w:br/>
        <w:t>WHEREAS, Sub-Adviser provides investment management services to the Trust pursuant to the Sub-Advisory Agreement, dated as of January 27, 2023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from the list of policies and procedures applicable to the Sub-Adviser.</w:t>
        <w:br/>
        <w:t xml:space="preserve">    (c)</w:t>
        <w:br/>
        <w:t>Schedule C is hereby amended to delete “Proxy Voting Report (equity sub-advisers only)” and “Current Proxy Voting Policies and Procedures”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19</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RBC GLOBAL ASSET MANAGEMENT (U.S.) INC.</w:t>
        <w:br/>
        <w:t xml:space="preserve">By:  </w:t>
        <w:br/>
        <w:t xml:space="preserve">  Name:  </w:t>
        <w:br/>
        <w:t xml:space="preserve">Title:  </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