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RREEF AMERICA L.L.C., a registered investment advisor organized under the laws of Delaware (the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and policies and procedures adopted by the Board thereunder,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Adviser agrees that it will provide the Sub-Adviser with a written list of its affiliated persons, indicating which of those affiliated persons are brokers, dealers, futures commission merchants, and/or banks, and will update such list from time to time as necessary.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provided,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 xml:space="preserve">  4</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except as otherwise disclosed therein, the Sub-Adviser is in compliance with all applicable “Federal Securities Laws,” as defined in Rule 38a-l under the 1940 Act; (B) the Sub-Adviser’s policies and procedures are reasonably designated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The Trust’s chief compliance officer shall have direct access to the Sub-Adviser’s chief compliance officer (or his/her designee) and the Sub-Adviser shall upon request, provide the Trust’s chief compliance officer with periodic reports and special reports in the event of compliance problems.</w:t>
        <w:br/>
        <w:t xml:space="preserve">  5</w:t>
        <w:br/>
        <w:t>(l) The Sub-Adviser is permitted to delegate a portion of its investment advisory services to the Fund Account to DWS Investments Australia Limited and DWS Alternatives Global Limited, pursuant to the terms of agreements between the Sub-Advisor and each such entity. The Sub-Adviser may also engage its affiliates to provide certain administrative and non-investment advisory functions for the Fund Account. In each such case, the Sub-Adviser will be responsible under this Agreement for any action taken by such affiliates to the same extent as if the Sub-Adviser had taken such action directly. All fees and/or other compensation payable to such affiliates shall be the sole responsibility of the Sub-Adviser and neither the Fund nor the Adviser shall have any obligation to pay any fee or compensation to such affiliates</w:t>
        <w:br/>
        <w:t>(m) The Sub-Adviser will not be responsible for making any class action filings, including bankruptcies, on behalf of the Fund Account. The Sub-Adviser shall cooperate with the Trust and the Adviser upon reasonable request and to the extent reasonably necessary for the Trust or the Adviser to pursue and/or participate in class action claims or any other legal matters involving any asset held in the Fund Account. The Sub-Adviser will also promptly notify the Trust and the Adviser if the Sub-Adviser determines to opt out of a class action litigation or otherwise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Proxies will be voted and elections made in accordance with the Sub-Adviser’s written proxy voting policies and procedures in effect from time to time, provided that the Custodian has timely forwarded the relevant proxy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Rule 206(4)-6 under the Advisers Act and any applicable guidance, and that it will provide to the Adviser upon request and as soon as practicable: (i) any update of such policies and procedures; and (ii) such other information as is reasonably necessary to assist the Adviser in complying with Rule 206(4)-6 under the Advisers Act.</w:t>
        <w:br/>
        <w:t xml:space="preserve">  6</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or any of its affiliated persons provides to any other non-DWS affiliated investment company registered under the 1940 Act discretionary investment advisory services using a global real estate securities only investment strategy substantially similar (as defined as the same GIPS composite) to those provided by the Sub-Adviser to the Fund pursuant to this Agreement, (ii) the value of the aggregate assets under management with respect to which the Sub-Adviser provides such services to such other investment company and any other client accounts managed by the same adviser to such other investment company is equal to or less than the value of the Fund Account, and (iii) the Sub-Adviser is compensated for providing such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 If the rates set forth on Schedule A are reduced pursuant to this Section 7 and subsequently the value of the Fund Account becomes less than the aggregate assets under management of the other investment company registered under the 1940 Act and other client accounts managed by the same adviser which previously had lower fees, the fees on Schedule A will revert to the fess listed on Schedule A as if this Section 7 was never triggered.</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 xml:space="preserve">  7</w:t>
        <w:br/>
        <w:t>9. Indemnification.</w:t>
        <w:br/>
        <w:t>(a) The Adviser shall indemnify the Sub-Adviser or any of its directors, officers, employees or affiliates for all losses, damages, liabilities, costs and expenses (including legal) (“Losses”) incurred by the Sub-Adviser by reason of or arising out of any act or omission by the Adviser under this Agreement, or any breach of warranty, representation or agreement hereunder, except to the extent that such Losses arise as a result of the gross negligence, willful misfeasance or bad faith of the Sub-Adviser or the Sub-Adviser’s breach of fiduciary duty to the Adviser.</w:t>
        <w:br/>
        <w:t>(b) The Trust shall indemnify the Sub-Adviser or any of its directors, officers, employees or affiliates for all Losses incurred by the Sub-Adviser by reason of or arising out of any act or omission by the Trust under this Agreement, or any breach of warranty, representation or agreement hereunder, except to the extent that such Losses arise as a result of the gross negligence, willful misfeasance or bad faith of the Sub-Adviser or the Sub-Adviser’s breach of fiduciary duty to the Trust.</w:t>
        <w:br/>
        <w:t>(c) The Sub-Adviser shall indemnify the Adviser or any of its directors, officers, employees or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fiduciary duty to the Sub-Adviser.</w:t>
        <w:br/>
        <w:t>(d) The Sub-Adviser shall indemnify the Trust or any of its trustees, officers, employees or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fiduciary duty to the Sub-Advisers.</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 xml:space="preserve">  8</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upon becoming aware of any statement regarding the Sub-Adviser contained in the Registration Statement with respect to the Fund, or any amendment or supplement thereto, that becomes untrue or incomplete in any material respect.</w:t>
        <w:br/>
        <w:t xml:space="preserve">  9</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as in effect as of the date of this Agreement. The Sub-Adviser will notify the Adviser promptly of any material compliance matters (as defined in Rule 38a-1 under the 1940 Act) relating directly or indirectly to, or could reasonably be expected to have an impact on, the Fund Account, the Fund, the Trust or the Adviser. Upon the request of the Adviser, the Sub-Adviser will provide the Adviser with information regarding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the written disclosure statement on Form ADV Part 2A (“Brochure”) and Part 2B (“Brochure Supplements” and with the Form ADV and Brochure collectively the “Materials”), and promptly will furnish a copy of any amendments to the Materials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 xml:space="preserve">  10</w:t>
        <w:br/>
        <w:t>(f) The Sub-Adviser agrees to maintain an appropriate level of errors and omissions or professional liability insurance coverage in an amount not less than $5,000,000. The Sub-Adviser shall upon request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 xml:space="preserve">  11</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material non-public information. The provisions of this Section 14 will not apply to any information that: (i) is or subsequently becomes publicly available without breach of any obligation owed to the other parties; (ii) became known to a party from a source other than the other parties, without breach of an obligation of confidentiality owed to the other parties; (iii) is independently developed by a party without reference to the information required by this Agreement to be treated confidentially; or (iv) is used by a party in order to enforce any of its rights, claims or defenses under, or as otherwise contemplated in,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 but any such termination shall not affect the status, obligations, or liabilities of the Fund and the Adviser to the Sub-Adviser arising prior to termination.</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 xml:space="preserve">  12</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Once the initial use is approved by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13</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 xml:space="preserve">  14</w:t>
        <w:br/>
        <w:t>All notices provided to the Sub-Adviser will be sent to the attention of:</w:t>
        <w:br/>
        <w:t>RREEF America L.L.C.</w:t>
        <w:br/>
        <w:t>000 X. Xxxxxxxxx Xxxxx, Xxxxx 00</w:t>
        <w:br/>
        <w:t>Chicago, IL 60606</w:t>
        <w:br/>
        <w:t>Attn: Xxxx Xxxxxxxx, Head of Liquid Real Assets</w:t>
        <w:br/>
        <w:t>Email: xxxx.xxxxxxxx@xxx.xxx</w:t>
        <w:br/>
        <w:t xml:space="preserve">    and</w:t>
        <w:br/>
        <w:t>RREEF America L.L.C.</w:t>
        <w:br/>
        <w:t>000 X. Xxxxxxxxx Xxxxx, Xxxxx 00</w:t>
        <w:br/>
        <w:t>Chicago, IL 60606</w:t>
        <w:br/>
        <w:t>Attn: Xxxxx Xxxxxx, Chief Operating Officer of Liquid Real Assets</w:t>
        <w:br/>
        <w:t>Email: xxxxx.xxxxxx@xx.xxx</w:t>
        <w:br/>
        <w:t>[rest of page left intentionally blank]</w:t>
        <w:br/>
        <w:t xml:space="preserve">  15</w:t>
        <w:br/>
        <w:t>IN WITNESS WHEREOF, the parties hereto have caused this instrument to be executed by their duly authorized signatories as of September 24, 2020.1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RREEF AMERICA L.L.C.</w:t>
        <w:br/>
        <w:t xml:space="preserve">By:    </w:t>
        <w:br/>
        <w:t xml:space="preserve">Name:    </w:t>
        <w:br/>
        <w:t xml:space="preserve">Title:    </w:t>
        <w:br/>
        <w:t xml:space="preserve">By:    </w:t>
        <w:br/>
        <w:t xml:space="preserve">Name:    </w:t>
        <w:br/>
        <w:t xml:space="preserve">Title:    </w:t>
        <w:br/>
        <w:t xml:space="preserve">    1 </w:t>
        <w:br/>
        <w:t>Original Agreement dated September 16, 2013, as amended.</w:t>
        <w:br/>
        <w:t>Xxxxxxx and restated as of September 24,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RREEF AMERICA L.L.C., a registered investment adviser organized under the laws of the State of Delaware (“Sub-Adviser”).</w:t>
        <w:br/>
        <w:t>WHEREAS, Sub-Adviser provides investment advisory services to the Trust pursuant to the Sub-Advisory Agreement, amended and restated as of September 24,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RREEF AMERICA L.L.C.</w:t>
        <w:br/>
        <w:t xml:space="preserve">By:    </w:t>
        <w:br/>
        <w:t xml:space="preserve">Name:  </w:t>
        <w:br/>
        <w:t xml:space="preserve">Title:  </w:t>
        <w:br/>
        <w:t xml:space="preserve">By:    </w:t>
        <w:br/>
        <w:t xml:space="preserve">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