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P/E GLOBAL LLC, a registered investment adviser organized under the laws of the State of Delaware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to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the Sub-Adviser as a discretionary investment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written notification to the Sub-Adviser received at least one business day in advance.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and in accordance with the written investment guidelines established by the Adviser and the Sub-Adviser, as amended and in effect from time to time (the “Investment Guidelines”).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including derivative trading agreements,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and the Investment Guidelines,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as soon as reasonably practicable after such changes have been received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dealers, and/or futures commission merchants (“FCMs”) to effect all portfolio transactions for the Fund Account subject to the conditions set forth herein. The Sub-Adviser will place all necessary orders with brokers, dealers, FCMs or issuers, and will negotiate brokerage commissions, if applicable. The Sub-Adviser agrees that, in placing orders with brokers, dealers and FCMs, it will seek to obtain best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directly or indirectly through a commission sharing arrangement,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an instrument to be in the best interest of the Fund as well as other clients of the Sub-Adviser, the Sub-Adviser, to the extent permitted by applicable laws and regulations, may, but shall be under no obligation to, aggregate the instruments to be purchased or sold to attempt to obtain a more favorable price or lower brokerage commissions and efficient execution. Whenever the Sub-Adviser simultaneously places orders to purchase or sell the same instrument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upon request provide the Adviser with a written list of its affiliated persons, indicating which of those affiliated persons are brokers, dealers, futures commission merchants, and/or banks, and will update such list from time to time, as necessary. To enable the Sub-Adviser to comply with this paragraph, the Adviser agrees that it will, prior to the commencement of trading under this Agreement, provide the Sub-Adviser with a written list of the Trust’s affiliated persons (excluding the Sub-Adviser) and principal underwriter, and their respective affiliated persons, and will provide the Sub-Adviser with an updated such list from time to time, as necessary, highlighting any changes thereto.</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solely with respect to transactions by the Sub-Adviser on behalf of the Fund Account, and will furnish the Board, the Adviser or the Fund’s administrator (“Administrator”) with such periodic and special reports as any of them may reasonably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Notwithstanding the foregoing, the Sub-Adviser shall be able to retain copies of such records to the extent necessary to comply with the Sub-Adviser’s recordkeeping policies or regulatory obligations. The Sub-Adviser agrees to keep confidential all records of the Trust and information relating to the Trust in accordance with Section 14 hereof unless the release of such records or information is otherwise consented to in writing by the Trust or the Adviser; provided that the Sub-Adviser shall be permitted to disclose such records or information to its agents and auditors so long as they are subject to a duty of confidentiality or have executed a confidentiality agreement with the Sub-Adviser.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upon request, confirm in writing to the Trust, to the Adviser and any other designated agent of the Fund, including the Administrator, all investment orders for the Fund Account placed by it with brokers, dealers and FCMs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other than acts or omissions arising in reliance on instructions of the Sub-Adviser; provided, that it shall be the responsibility of the Sub-Adviser to notify the Adviser if the Custodian fails to confirm in writing proper execution of the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In accordance with procedures adopted by the Board, as amended from time to time, the Sub-Adviser will upon reasonable request provide reasonable assistance to the Administrator and/or the Fund in determining the fair valuation of portfolio securities held in the Fund Account. Upon request of the Adviser or the Administrator, the Sub-Adviser will provide reasonable assistance to the Adviser with respect to the valuation of any portfolio security held in the Fund Account for which the Administrator does not obtain prices in the ordinary course of business from an automated pricing service. The Sub-Adviser shall promptly notify the Adviser if, for any reason, the Sub-Adviser believes that the price assigned to any security or other investment in the Fund Account that is not readily ascertainable may not accurately reflect the fair value thereof. In those circumstances, approved fair valuation methodology may be utilized by the Sub-Adviser to establish a price, at which time a fair valuation recommendation would be provided to the Adviser. The Sub-Adviser will maintain records with respect to securities fair valuation information provided hereunder and shall provide such information to the Adviser upon request. Notwithstanding the foregoing, the Adviser and the Trust hereby acknowledge that the Sub-Adviser is not the pricing agent for the Fund and therefore not responsible for valuing the Fund’s securities for purposes of calculating the Fund’s net asset value.</w:t>
        <w:br/>
        <w:t>(j) The Sub-Adviser shall provide reasonable assistance as reasonably requested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Registration Statements or portions thereof that relate to the Fund or the Sub-Adviser and other documents provided to the Sub-Adviser, provide comments on such drafts on a timely basis, and provide certifications or sub-certifications on a timely basis and in a form mutually agreeable to the parties. The Sub-Adviser’s (or its affiliate’s) Form 13F filed with the SEC shall include, to the extent applicable, the 13(f) securities held in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the Sub-Adviser will provide reasonable assistance to the Trust in connection with the Trust’s compliance with the Xxxxxxxx-Xxxxx Act of 2002 and the rules and regulations promulgated by the SEC thereunder, and Rule 38a-1 under the 1940 Act. Specifically, the Sub-Adviser agrees to, upon the reasonable request of the Trust and with reasonable prior notice: (i) provide periodic certifications relating to the Sub-Adviser’s provision of portfolio management services hereunder, including that: (A) the Sub-Adviser is in compliance with all applicable “Federal Securities Laws,” as defined in Rule 38a-l under the 1940 Act; (B) the Sub-Adviser’s policies and procedures are reasonably designed to prevent violation of the Federal Securities Laws by the Sub-Adviser and its supervised persons; and (C) the Sub-Adviser has reviewed, no less frequently than annually, the adequacy of its policies and procedures and the effectiveness of their implementation; and (ii) reasonably cooperate with third-party audits arranged by the Trust to evaluate the effectiveness of the Sub-Adviser’s compliance controls. Upon request and reasonable prior notice, the Trust’s chief compliance officer shall have direct access to the Sub-Adviser’s chief compliance officer and compliance personnel, and the Sub-Adviser shall provide the Trust’s chief compliance officer with periodic reports and special reports in the event of compliance problems.</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provide the Adviser and the Fund with 30 days’ prior written notice, which will include the identity of the affiliated person and such other information reasonably requested by the Adviser or the Fund.</w:t>
        <w:br/>
        <w:t>(m) The Sub-Adviser will not be responsible for making any class action filings, including bankruptcies, on behalf of the Fund Account.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reasonably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has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applicable requirements of: (i) the 1940 Act and Advisers Act and the rules and regulations adopted under each; (ii) Subchapter M of the Internal Revenue Code of 1986, as amended (“Code”), applicable to regulated investment companies; (iii) the CEA and the rules and regulations adopted thereunder; and (iv) all other federal and state laws and regulations applicable to the Trust and the Fund. The Adviser agrees to provide to the Sub-Adviser copies of the Trust’s Trust Instrument, By-Laws, Registration Statement, Investment Guidelines, written guidelines, policies and procedures adopted by the Trust as applicable to the Fund Account, written instructions and directions of the Board and the Adviser, and any amendments or supplements to any of these materials.</w:t>
        <w:br/>
        <w:t xml:space="preserve">  6</w:t>
        <w:br/>
        <w:t>5. Proxies. Unless the Adviser gives written instructions to the contrary, provided the Custodian has timely forwarded the relevant proxy materials, the Sub-Adviser shall, in accordance with its proxy voting policies and procedures,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upon request,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as soon as reasonably practicable: (i) any material update of such policies and procedures; and (ii) such other information that the Sub-Adviser maintains in the ordinary course of business as is necessary to assist the Adviser in complying with Rule 206(4)-6 under the Advisers Act.</w:t>
        <w:br/>
        <w:t>6. Expenses. During the term of this Agreement, the Sub-Adviser will bear all expenses incurred by it in connection with its services under this Agreement other than the cost of instruments (including brokerage commissions, FCM commissions, other transactional fees and taxes, if any) purchased or sold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in the performance of its duties, or its reckless disregard of its obligations and duties under this Agreement. Nothing in this paragraph shall be deemed a limitation or waiver of any obligation or duty that may not by law be limited or waived.</w:t>
        <w:br/>
        <w:t xml:space="preserve">  7</w:t>
        <w:br/>
        <w:t>9. Indemnification.</w:t>
        <w:br/>
        <w:t>(a) The Adviser shall indemnify the Sub-Adviser and any of its directors, officers, employees and affiliates for all losses, claims, damages, liabilities and costs (including reasonable legal and other expenses) (“Losses”) incurred by the Sub-Adviser by reason of or arising out of any act or omission by the Adviser under this Agreement, if such act or omission involves the 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(b) The Trust shall indemnify the Sub-Adviser and any of its directors, officers, employees and affiliates for all Losses incurred by the Sub-Adviser by reason of or arising out of any act or omission by the Trust under this Agreement, if such act or omission involves the Trust’s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Sub-Adviser’s willful misfeasance, bad faith, or gross negligence in the performance of its duties, or its reckless disregard of its obligations and duties under this Agreement.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Adviser’s willful misfeasance, bad faith, or gross negligence in the performance of its duties, or its reckless disregard of its obligations and duties under this Agreement.</w:t>
        <w:br/>
        <w:t>(d) The Sub-Adviser shall indemnify the Trust and any of its trustees, officers, employees and affiliates for all Losses incurred by the Trust by reason of or arising out of any act or omission by the Sub-Adviser under this Agreement if such act or omission involves the Sub-Adviser’s willful misfeasance, bad faith, or gross negligence in the performance of its duties, or its reckless disregard of its obligations and duties under this Agreement, or any material breach of warranty, representation or agreement hereunder, except to the extent that such Losses arise as a result of the Trust’s willful misfeasance, bad faith, or gross negligence in the performance of its duties, or its reckless disregard of its obligations and duties under this Agreement.</w:t>
        <w:br/>
        <w:t>(e) The indemnification in this Section 9 shall survive the termination of this Agreement.</w:t>
        <w:br/>
        <w:t xml:space="preserve">  8</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(e) Each Fund listed on Schedule A is a Qualified Eligible Person, as defined in Commodity Futures Trading Commission (“CFTC”) Regulation 4.7 under the CEA.</w:t>
        <w:br/>
        <w:t>(f) The Trust hereby consents to each Fund listed on Schedule A being treated as an exempt account under CFTC Rule 4.7(c).</w:t>
        <w:br/>
        <w:t>(g) The Trust will promptly notify the Sub-Adviser if any representation it has made under this Agreement becomes materially untrue.</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agency or industry self-regulatory organization necessary to be met in order to perform the services contemplated by this Agreement; (iv) has the authority to enter into and perform the services contemplated by this Agreement; (v) will promptly notify the Sub-Adviser of the occurrence of any event that would disqualify the Adviser from serving as an investment adviser of an investment company pursuant to Section 9(a) of the 1940 Act or otherwise; and (vi) will promptly notify the Sub-Adviser if any representation it has made under this Agreement becomes materially untrue.</w:t>
        <w:br/>
        <w:t xml:space="preserve">  9</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any representation under this Agreement becomes materially untrue or the occurrence of any event that the Sub-Adviser reasonably determines could have a materially adverse impact on the Sub-Adviser’s ability to provide services under this Agreement, or would disqualify the Sub-Adviser from serving as an investment adviser of an investment company pursuant to Section 9(a) of the 1940 Act or otherwise. To the extent permitted by law, the Sub-Adviser will also promptly notify the Trust and the Adviser if it is served or otherwise receives notice of any material action, suit, proceeding, inquiry or investigation, at law or in equity, or any threat thereof,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it becomes aware that any statement regarding the Sub-Adviser contained in the Registration Statement with respect to the Fund, or any amendment or supplement thereto, becomes untrue or incomplete in any material respect.</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deficiency letters or similar communications from the SEC or another regulator.</w:t>
        <w:br/>
        <w:t>(c) The Sub-Adviser has adopted a written code of ethics complying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Upon request, and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and the Adviser in writing any material amendments to its code of ethics; (iv) promptly furnish all pertinent information regarding any material violation of the Sub-Adviser’s code of ethics by: (A) its directors, officers and partners; or (B) any person who has access to nonpublic information regarding: (I) the Fund’s purchase or sale of securities; (II) the portfolio holdings of the Fund; or (III) securities recommendations to the Fund;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w:t>
        <w:br/>
        <w:t xml:space="preserve">  10</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w:t>
        <w:br/>
        <w:t>(e) The Sub-Adviser will notify the Trust and the Adviser of any change of control of the Sub-Adviser, including any change of its general partner(s) or managing member, controlling persons or 25% shareholders, as applicable, and any changes to the portfolio manager(s) of the Fund Account or members of the Sub-Adviser’s management committee, in each case prior to such change if the Sub-Adviser is aware of such change but in any event not later than as soon as reasonably practicable after such change. The Sub-Adviser agrees that it may bear all reasonable expenses of the Trust and Adviser, if any, arising out of the Sub-Adviser’s failure to notify the Trust and the Adviser as set forth herein.</w:t>
        <w:br/>
        <w:t>(f) The Sub-Adviser agrees to maintain an appropriate level of errors and omissions or professional liability insurance coverage from insurance providers that are in the business of regularly providing insurance coverage to investment advisers. In no event shall such coverage be less than $5,000,000. The Sub-Adviser shall upon request endeavor to provide to the Adviser any information it may reasonably require concerning the amount or scope of such insurance.</w:t>
        <w:br/>
        <w:t>(g) The Sub-Adviser will not, in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with such right terminating upon termination of this Agreement, and the Sub-Adviser may use the performance of the Fund Account in its composite performance.</w:t>
        <w:br/>
        <w:t>(i) The Sub-Adviser agrees to promptly notify the Adviser of trade errors made by the Sub-Adviser in connection with its management of the Fund Account.</w:t>
        <w:br/>
        <w:t>(j) The Sub-Adviser has reviewed the registration requirements of the CEA and the National Futures Association (“NFA”) relating to commodity trading advisors and is appropriately registered with the CFTC as a commodity trading adviser in reliance on CFTC Rule 4.7 thereunder and is a member of the NFA..</w:t>
        <w:br/>
        <w:t xml:space="preserve">  11</w:t>
        <w:br/>
        <w:t>(k) The Sub-Adviser has provided the Trust with Part 2 of the Sub-Adviser’s Form ADV and the Sub-Adviser’s Privacy Notice.</w:t>
        <w:br/>
        <w:t>(l)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(m) The Sub-Adviser has administrative, technical and physical safeguards in place that comply with all laws and regulations applicable to the Sub-Adviser and, in the event the Sub-Adviser becomes aware of any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The provisions of this Section 14 shall survive any termination of this Agreement.</w:t>
        <w:br/>
        <w:t>15.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 xml:space="preserve">  12</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(as defined in the 1940 Act) by the Sub-Adviser, or upon the termination of the Advisory Agreement as it relates to the Fund. The Sub-Adviser agrees to bear all reasonable expenses of the Trust, if any, arising out of an assignment of this Agreement by the Sub-Adviser.</w:t>
        <w:br/>
        <w:t>(e) This Agreement may be terminated at any time by the Sub-Adviser on ninety (90) days’ written notice to the Fund and the Adviser, but any such termination shall not affect the status, obligations, or liabilities of the Sub-Adviser to the Fund and the Adviser arising prior to termination.</w:t>
        <w:br/>
        <w:t>16.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17.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18.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19.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 xml:space="preserve">  13</w:t>
        <w:br/>
        <w:t>20. Reference to the Sub-Adviser. The Adviser and the Trust are authorized to publish and distribute information, including, but not limited to, Registration Statements, Fund fact sheets and marketing material, regarding the provision of sub-advisory services by the Sub-Adviser pursuant to this Agreement and to include in such information the name of the Sub-Adviser or any trademark, service mark, symbol or logo of the Sub-Adviser, without the prior written consent of the Sub-Adviser; provided that such materials shall include the composite performance of the applicable Fund and not separately identify the track record of the Sub-Adviser without its prior written consent, and shall include reference to all persons acting as sub-adviser to such Fund. The Adviser will provide copies of such items to the Sub-Adviser upon request within a reasonable time following such use, publication or distribution.</w:t>
        <w:br/>
        <w:t>21.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22. Severability. If any provision of this Agreement is held or made invalid by a court decision, statute, rule or otherwise, the remainder of this Agreement shall not be affected thereby.</w:t>
        <w:br/>
        <w:t>23.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24.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 xml:space="preserve">  14</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P/E Global LLC</w:t>
        <w:br/>
        <w:t>00 Xxxxx Xxxxxx</w:t>
        <w:br/>
        <w:t>31st Floor</w:t>
        <w:br/>
        <w:t>Boston, Massachusetts 02109</w:t>
        <w:br/>
        <w:t>Attn: Xxxxxx Xxxxxxx and Xxxx Xxxxxxx</w:t>
        <w:br/>
        <w:t>Email: xxxxxxxx@xxxxxxxxxxxxx.xxx; xxxxxxxxxx@xxxxxxxxxxxxx.xxx</w:t>
        <w:br/>
        <w:t>[rest of page left intentionally blank]</w:t>
        <w:br/>
        <w:t xml:space="preserve">  15</w:t>
        <w:br/>
        <w:t>PURSUANT TO AN EXEMPTION FROM THE COMMODITY FUTURES TRADING COMMISSION IN CONNECTION WITH ACCOUNTS OF QUALIFIED ELIGIBLE PERSONS, THIS BROCHURE OR ACCOUNT DOCUMENT IS NOT REQUIRED TO BE, AND HAS NOT BEEN, FILED WITH THE COMMISSION. THE COMMODITY FUTURES TRADING COMMISSION DOES NOT PASS UPON THE MERITS OF PARTICIPATING IN A TRADING PROGRAM OR UPON THE ADEQUACY OR ACCURACY OF COMMODITY TRADING ADVISOR DISCLOSURE. CONSEQUENTLY, THE COMMODITY FUTURES TRADING COMMISSION HAS NOT REVIEWED OR APPROVED THIS TRADING PROGRAM OR THIS BROCHURE OR ACCOUNT DOCUMENT.</w:t>
        <w:br/>
        <w:t>IN WITNESS WHEREOF, the parties hereto have caused this instrument to be executed by their duly authorized signatories as of November 18, 2020.1</w:t>
        <w:br/>
        <w:t xml:space="preserve">  GUIDESTONE FUNDS, on behalf of the series of the Trust listed on Schedule A</w:t>
        <w:br/>
        <w:t xml:space="preserve">By:  </w:t>
        <w:br/>
        <w:t xml:space="preserve">  Name:   Xxxx X. Xxxxx</w:t>
        <w:br/>
        <w:t>Title:   President</w:t>
        <w:br/>
        <w:t>GUIDESTONE CAPITAL MANAGEMENT, LLC</w:t>
        <w:br/>
        <w:t xml:space="preserve">By:  </w:t>
        <w:br/>
        <w:t xml:space="preserve">  Name:   Xxxxx X. Xxxxx</w:t>
        <w:br/>
        <w:t>Title:   President</w:t>
        <w:br/>
        <w:t>P/E GLOBAL LLC</w:t>
        <w:br/>
        <w:t xml:space="preserve">By:  </w:t>
        <w:br/>
        <w:t xml:space="preserve">  Name:  </w:t>
        <w:br/>
        <w:t xml:space="preserve">  Title:  </w:t>
        <w:br/>
        <w:t xml:space="preserve">    1 </w:t>
        <w:br/>
        <w:t>Original Agreement dated November 18,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P/E GLOBAL LLC, a registered investment adviser organized under the laws of the State of Delaware (“Sub-Adviser”).</w:t>
        <w:br/>
        <w:t>WHEREAS, Sub-Adviser provides investment management services to the Trust pursuant to the Sub-Advisory Agreement, dated as of November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 xml:space="preserve">  Name:   Xxxxx X. Xxxxx</w:t>
        <w:br/>
        <w:t>Title:   President</w:t>
        <w:br/>
        <w:t>GUIDESTONE CAPITAL MANAGEMENT, LLC</w:t>
        <w:br/>
        <w:t xml:space="preserve">By:  </w:t>
        <w:br/>
        <w:t xml:space="preserve">  Name:   Xxxxxxx Xxxxxxxx</w:t>
        <w:br/>
        <w:t>Title:   Vice President – Investment Officer</w:t>
        <w:br/>
        <w:t>P/E GLOBAL LLC</w:t>
        <w:br/>
        <w:t xml:space="preserve">By:  </w:t>
        <w:br/>
        <w:t xml:space="preserve">  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